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jc w:val="center"/>
        <w:tblLook w:val="0000" w:firstRow="0" w:lastRow="0" w:firstColumn="0" w:lastColumn="0" w:noHBand="0" w:noVBand="0"/>
      </w:tblPr>
      <w:tblGrid>
        <w:gridCol w:w="3288"/>
        <w:gridCol w:w="6690"/>
      </w:tblGrid>
      <w:tr w:rsidR="001A64A2" w14:paraId="2B1D8362" w14:textId="77777777" w:rsidTr="002F4C86">
        <w:trPr>
          <w:jc w:val="center"/>
        </w:trPr>
        <w:tc>
          <w:tcPr>
            <w:tcW w:w="3288" w:type="dxa"/>
          </w:tcPr>
          <w:p w14:paraId="2B1D8360" w14:textId="77777777" w:rsidR="00967D68" w:rsidRPr="00E834A9" w:rsidRDefault="001543A9" w:rsidP="00B70487">
            <w:pPr>
              <w:tabs>
                <w:tab w:val="left" w:pos="3969"/>
                <w:tab w:val="right" w:pos="9356"/>
              </w:tabs>
              <w:spacing w:before="120" w:after="120" w:line="240" w:lineRule="auto"/>
              <w:jc w:val="both"/>
              <w:rPr>
                <w:rFonts w:ascii="Arial" w:hAnsi="Arial" w:cs="Arial"/>
                <w:b/>
                <w:bCs/>
              </w:rPr>
            </w:pPr>
            <w:bookmarkStart w:id="0" w:name="_GoBack"/>
            <w:bookmarkEnd w:id="0"/>
            <w:r w:rsidRPr="00E834A9">
              <w:rPr>
                <w:rFonts w:ascii="Arial" w:hAnsi="Arial" w:cs="Arial"/>
                <w:b/>
                <w:bCs/>
              </w:rPr>
              <w:t>Report To:</w:t>
            </w:r>
          </w:p>
        </w:tc>
        <w:tc>
          <w:tcPr>
            <w:tcW w:w="6690" w:type="dxa"/>
          </w:tcPr>
          <w:p w14:paraId="2B1D8361" w14:textId="77777777" w:rsidR="002B0969" w:rsidRPr="00E834A9" w:rsidRDefault="001543A9" w:rsidP="0065173F">
            <w:pPr>
              <w:tabs>
                <w:tab w:val="left" w:pos="3969"/>
                <w:tab w:val="right" w:pos="9356"/>
              </w:tabs>
              <w:spacing w:before="120" w:after="120" w:line="240" w:lineRule="auto"/>
              <w:jc w:val="both"/>
              <w:rPr>
                <w:rFonts w:ascii="Arial" w:hAnsi="Arial" w:cs="Arial"/>
                <w:b/>
                <w:bCs/>
                <w:caps/>
              </w:rPr>
            </w:pPr>
            <w:r>
              <w:rPr>
                <w:rFonts w:ascii="Arial" w:hAnsi="Arial" w:cs="Arial"/>
                <w:b/>
                <w:bCs/>
                <w:caps/>
              </w:rPr>
              <w:t xml:space="preserve">SLT / </w:t>
            </w:r>
            <w:r w:rsidR="00622505">
              <w:rPr>
                <w:rFonts w:ascii="Arial" w:hAnsi="Arial" w:cs="Arial"/>
                <w:b/>
                <w:bCs/>
                <w:caps/>
              </w:rPr>
              <w:t>BOARD</w:t>
            </w:r>
            <w:r w:rsidR="00F00BBB">
              <w:rPr>
                <w:rFonts w:ascii="Arial" w:hAnsi="Arial" w:cs="Arial"/>
                <w:b/>
                <w:bCs/>
                <w:caps/>
              </w:rPr>
              <w:t xml:space="preserve"> / Executive CABINET</w:t>
            </w:r>
          </w:p>
        </w:tc>
      </w:tr>
      <w:tr w:rsidR="001A64A2" w14:paraId="2B1D8365" w14:textId="77777777" w:rsidTr="002F4C86">
        <w:trPr>
          <w:jc w:val="center"/>
        </w:trPr>
        <w:tc>
          <w:tcPr>
            <w:tcW w:w="3288" w:type="dxa"/>
          </w:tcPr>
          <w:p w14:paraId="2B1D8363" w14:textId="77777777" w:rsidR="00967D68" w:rsidRPr="00E834A9" w:rsidRDefault="001543A9" w:rsidP="00AC2E32">
            <w:pPr>
              <w:tabs>
                <w:tab w:val="left" w:pos="3969"/>
                <w:tab w:val="right" w:pos="9356"/>
              </w:tabs>
              <w:spacing w:before="120" w:after="120" w:line="240" w:lineRule="auto"/>
              <w:jc w:val="both"/>
              <w:rPr>
                <w:rFonts w:ascii="Arial" w:hAnsi="Arial" w:cs="Arial"/>
                <w:b/>
                <w:bCs/>
              </w:rPr>
            </w:pPr>
            <w:r w:rsidRPr="00E834A9">
              <w:rPr>
                <w:rFonts w:ascii="Arial" w:hAnsi="Arial" w:cs="Arial"/>
                <w:b/>
                <w:bCs/>
              </w:rPr>
              <w:t>Date:</w:t>
            </w:r>
          </w:p>
        </w:tc>
        <w:tc>
          <w:tcPr>
            <w:tcW w:w="6690" w:type="dxa"/>
          </w:tcPr>
          <w:p w14:paraId="2B1D8364" w14:textId="2814A9E6" w:rsidR="00AC7C55" w:rsidRPr="009A695F" w:rsidRDefault="001543A9">
            <w:pPr>
              <w:tabs>
                <w:tab w:val="left" w:pos="3969"/>
                <w:tab w:val="right" w:pos="9356"/>
              </w:tabs>
              <w:spacing w:before="120" w:after="120" w:line="240" w:lineRule="auto"/>
              <w:jc w:val="both"/>
              <w:rPr>
                <w:rFonts w:ascii="Arial" w:hAnsi="Arial" w:cs="Arial"/>
              </w:rPr>
            </w:pPr>
            <w:r>
              <w:rPr>
                <w:rFonts w:ascii="Arial" w:hAnsi="Arial" w:cs="Arial"/>
              </w:rPr>
              <w:t>26 July / 10 / 24 August 2022</w:t>
            </w:r>
          </w:p>
        </w:tc>
      </w:tr>
      <w:tr w:rsidR="001A64A2" w14:paraId="2B1D836B" w14:textId="77777777" w:rsidTr="002F4C86">
        <w:trPr>
          <w:jc w:val="center"/>
        </w:trPr>
        <w:tc>
          <w:tcPr>
            <w:tcW w:w="3288" w:type="dxa"/>
          </w:tcPr>
          <w:p w14:paraId="2B1D8366" w14:textId="77777777" w:rsidR="000106B2" w:rsidRDefault="001543A9" w:rsidP="00D80429">
            <w:pPr>
              <w:tabs>
                <w:tab w:val="left" w:pos="3969"/>
                <w:tab w:val="right" w:pos="9356"/>
              </w:tabs>
              <w:spacing w:before="120" w:after="120" w:line="240" w:lineRule="auto"/>
              <w:jc w:val="both"/>
              <w:rPr>
                <w:rFonts w:ascii="Arial" w:hAnsi="Arial" w:cs="Arial"/>
                <w:b/>
                <w:bCs/>
              </w:rPr>
            </w:pPr>
            <w:r>
              <w:rPr>
                <w:rFonts w:ascii="Arial" w:hAnsi="Arial" w:cs="Arial"/>
                <w:b/>
                <w:bCs/>
              </w:rPr>
              <w:t xml:space="preserve">Executive Member / </w:t>
            </w:r>
          </w:p>
          <w:p w14:paraId="2B1D8367" w14:textId="77777777" w:rsidR="002E72E6" w:rsidRPr="00E834A9" w:rsidRDefault="001543A9" w:rsidP="00D80429">
            <w:pPr>
              <w:tabs>
                <w:tab w:val="left" w:pos="3969"/>
                <w:tab w:val="right" w:pos="9356"/>
              </w:tabs>
              <w:spacing w:before="120" w:after="120" w:line="240" w:lineRule="auto"/>
              <w:jc w:val="both"/>
              <w:rPr>
                <w:rFonts w:ascii="Arial" w:hAnsi="Arial" w:cs="Arial"/>
                <w:b/>
                <w:bCs/>
              </w:rPr>
            </w:pPr>
            <w:r w:rsidRPr="00E834A9">
              <w:rPr>
                <w:rFonts w:ascii="Arial" w:hAnsi="Arial" w:cs="Arial"/>
                <w:b/>
                <w:bCs/>
              </w:rPr>
              <w:t>Reporting Officer:</w:t>
            </w:r>
          </w:p>
        </w:tc>
        <w:tc>
          <w:tcPr>
            <w:tcW w:w="6690" w:type="dxa"/>
          </w:tcPr>
          <w:p w14:paraId="2B1D8368" w14:textId="77777777" w:rsidR="001C08DE" w:rsidRPr="000A78C6" w:rsidRDefault="001543A9" w:rsidP="00D80429">
            <w:pPr>
              <w:autoSpaceDE w:val="0"/>
              <w:autoSpaceDN w:val="0"/>
              <w:adjustRightInd w:val="0"/>
              <w:spacing w:before="120" w:after="120" w:line="240" w:lineRule="auto"/>
              <w:rPr>
                <w:rFonts w:ascii="Arial" w:hAnsi="Arial" w:cs="Arial"/>
                <w:lang w:eastAsia="en-GB"/>
              </w:rPr>
            </w:pPr>
            <w:r w:rsidRPr="000A78C6">
              <w:rPr>
                <w:rFonts w:ascii="Arial" w:hAnsi="Arial" w:cs="Arial"/>
                <w:lang w:eastAsia="en-GB"/>
              </w:rPr>
              <w:t xml:space="preserve">Cllr </w:t>
            </w:r>
            <w:r w:rsidR="000A78C6" w:rsidRPr="000A78C6">
              <w:rPr>
                <w:rFonts w:ascii="Arial" w:hAnsi="Arial" w:cs="Arial"/>
                <w:lang w:eastAsia="en-GB"/>
              </w:rPr>
              <w:t>Jacqueline North</w:t>
            </w:r>
            <w:r w:rsidRPr="000A78C6">
              <w:rPr>
                <w:rFonts w:ascii="Arial" w:hAnsi="Arial" w:cs="Arial"/>
                <w:lang w:eastAsia="en-GB"/>
              </w:rPr>
              <w:t xml:space="preserve"> –</w:t>
            </w:r>
            <w:r w:rsidR="000A78C6" w:rsidRPr="00F00BBB">
              <w:rPr>
                <w:rFonts w:ascii="Arial" w:hAnsi="Arial" w:cs="Arial"/>
              </w:rPr>
              <w:t>First Deputy (Finance, Resources &amp; Transformation)</w:t>
            </w:r>
          </w:p>
          <w:p w14:paraId="2B1D8369" w14:textId="77777777" w:rsidR="003267A3" w:rsidRPr="000A78C6" w:rsidRDefault="001543A9" w:rsidP="00D80429">
            <w:pPr>
              <w:autoSpaceDE w:val="0"/>
              <w:autoSpaceDN w:val="0"/>
              <w:adjustRightInd w:val="0"/>
              <w:spacing w:before="120" w:after="120" w:line="240" w:lineRule="auto"/>
              <w:rPr>
                <w:rFonts w:ascii="Arial" w:hAnsi="Arial" w:cs="Arial"/>
                <w:lang w:eastAsia="en-GB"/>
              </w:rPr>
            </w:pPr>
            <w:r w:rsidRPr="000A78C6">
              <w:rPr>
                <w:rFonts w:ascii="Arial" w:eastAsia="Times New Roman" w:hAnsi="Arial" w:cs="Arial"/>
              </w:rPr>
              <w:t xml:space="preserve">Dr Ash Ramachandra </w:t>
            </w:r>
            <w:r w:rsidRPr="000A78C6">
              <w:rPr>
                <w:rFonts w:ascii="Arial" w:hAnsi="Arial" w:cs="Arial"/>
                <w:lang w:eastAsia="en-GB"/>
              </w:rPr>
              <w:t>– Lead Clinical GP</w:t>
            </w:r>
          </w:p>
          <w:p w14:paraId="2B1D836A" w14:textId="77777777" w:rsidR="002E72E6" w:rsidRPr="00625897" w:rsidRDefault="001543A9" w:rsidP="00D80429">
            <w:pPr>
              <w:autoSpaceDE w:val="0"/>
              <w:autoSpaceDN w:val="0"/>
              <w:adjustRightInd w:val="0"/>
              <w:spacing w:before="120" w:after="120" w:line="240" w:lineRule="auto"/>
              <w:rPr>
                <w:rFonts w:ascii="Arial" w:hAnsi="Arial" w:cs="Arial"/>
                <w:lang w:eastAsia="en-GB"/>
              </w:rPr>
            </w:pPr>
            <w:r w:rsidRPr="000A78C6">
              <w:rPr>
                <w:rFonts w:ascii="Arial" w:hAnsi="Arial" w:cs="Arial"/>
                <w:lang w:eastAsia="en-GB"/>
              </w:rPr>
              <w:t>Kathy Roe – Director of Finance</w:t>
            </w:r>
          </w:p>
        </w:tc>
      </w:tr>
      <w:tr w:rsidR="001A64A2" w14:paraId="2B1D836F" w14:textId="77777777" w:rsidTr="002F4C86">
        <w:trPr>
          <w:trHeight w:val="138"/>
          <w:jc w:val="center"/>
        </w:trPr>
        <w:tc>
          <w:tcPr>
            <w:tcW w:w="3288" w:type="dxa"/>
          </w:tcPr>
          <w:p w14:paraId="2B1D836C" w14:textId="77777777" w:rsidR="00500129" w:rsidRPr="00E834A9" w:rsidRDefault="001543A9" w:rsidP="00AC2E32">
            <w:pPr>
              <w:tabs>
                <w:tab w:val="left" w:pos="3969"/>
                <w:tab w:val="right" w:pos="9356"/>
              </w:tabs>
              <w:spacing w:before="120" w:after="120" w:line="240" w:lineRule="auto"/>
              <w:jc w:val="both"/>
              <w:rPr>
                <w:rFonts w:ascii="Arial" w:hAnsi="Arial" w:cs="Arial"/>
                <w:b/>
                <w:bCs/>
              </w:rPr>
            </w:pPr>
            <w:r w:rsidRPr="00E834A9">
              <w:rPr>
                <w:rFonts w:ascii="Arial" w:hAnsi="Arial" w:cs="Arial"/>
                <w:b/>
                <w:bCs/>
              </w:rPr>
              <w:t>Subject:</w:t>
            </w:r>
          </w:p>
        </w:tc>
        <w:tc>
          <w:tcPr>
            <w:tcW w:w="6690" w:type="dxa"/>
          </w:tcPr>
          <w:p w14:paraId="2B1D836D" w14:textId="77777777" w:rsidR="00A65767" w:rsidRDefault="001543A9" w:rsidP="007C3789">
            <w:pPr>
              <w:tabs>
                <w:tab w:val="left" w:pos="3969"/>
                <w:tab w:val="right" w:pos="9356"/>
              </w:tabs>
              <w:spacing w:before="120" w:after="120" w:line="240" w:lineRule="auto"/>
              <w:jc w:val="both"/>
              <w:rPr>
                <w:rFonts w:ascii="Arial" w:hAnsi="Arial" w:cs="Arial"/>
                <w:b/>
                <w:color w:val="000000"/>
              </w:rPr>
            </w:pPr>
            <w:r>
              <w:rPr>
                <w:rFonts w:ascii="Arial" w:hAnsi="Arial" w:cs="Arial"/>
                <w:b/>
                <w:color w:val="000000"/>
              </w:rPr>
              <w:t>STRATEGIC COMMISSION AND NHS TAMESIDE AND GLOSSOP INTEGRATED CARE FOUNDATION TRUST FINANCE REPORT</w:t>
            </w:r>
          </w:p>
          <w:p w14:paraId="2B1D836E" w14:textId="3BC6A2D7" w:rsidR="00C8261C" w:rsidRPr="00A82173" w:rsidRDefault="001543A9">
            <w:pPr>
              <w:tabs>
                <w:tab w:val="left" w:pos="3969"/>
                <w:tab w:val="right" w:pos="9356"/>
              </w:tabs>
              <w:spacing w:before="120" w:after="120" w:line="240" w:lineRule="auto"/>
              <w:jc w:val="both"/>
              <w:rPr>
                <w:rFonts w:ascii="Arial" w:hAnsi="Arial" w:cs="Arial"/>
                <w:b/>
                <w:color w:val="000000"/>
              </w:rPr>
            </w:pPr>
            <w:r>
              <w:rPr>
                <w:rFonts w:ascii="Arial" w:hAnsi="Arial" w:cs="Arial"/>
                <w:b/>
                <w:color w:val="000000"/>
              </w:rPr>
              <w:t>CONSOLIDATED 202</w:t>
            </w:r>
            <w:r w:rsidR="000A78C6">
              <w:rPr>
                <w:rFonts w:ascii="Arial" w:hAnsi="Arial" w:cs="Arial"/>
                <w:b/>
                <w:color w:val="000000"/>
              </w:rPr>
              <w:t>2/23</w:t>
            </w:r>
            <w:r>
              <w:rPr>
                <w:rFonts w:ascii="Arial" w:hAnsi="Arial" w:cs="Arial"/>
                <w:b/>
                <w:color w:val="000000"/>
              </w:rPr>
              <w:t xml:space="preserve"> REVENUE MONITORING STATEMENT AT 3</w:t>
            </w:r>
            <w:r w:rsidR="00F00BBB">
              <w:rPr>
                <w:rFonts w:ascii="Arial" w:hAnsi="Arial" w:cs="Arial"/>
                <w:b/>
                <w:color w:val="000000"/>
              </w:rPr>
              <w:t>0 JUNE</w:t>
            </w:r>
            <w:r>
              <w:rPr>
                <w:rFonts w:ascii="Arial" w:hAnsi="Arial" w:cs="Arial"/>
                <w:b/>
                <w:color w:val="000000"/>
              </w:rPr>
              <w:t xml:space="preserve"> 202</w:t>
            </w:r>
            <w:r w:rsidR="000A78C6">
              <w:rPr>
                <w:rFonts w:ascii="Arial" w:hAnsi="Arial" w:cs="Arial"/>
                <w:b/>
                <w:color w:val="000000"/>
              </w:rPr>
              <w:t>2</w:t>
            </w:r>
          </w:p>
        </w:tc>
      </w:tr>
      <w:tr w:rsidR="001A64A2" w14:paraId="2B1D8376" w14:textId="77777777" w:rsidTr="002F4C86">
        <w:trPr>
          <w:jc w:val="center"/>
        </w:trPr>
        <w:tc>
          <w:tcPr>
            <w:tcW w:w="3288" w:type="dxa"/>
          </w:tcPr>
          <w:p w14:paraId="2B1D8370" w14:textId="77777777" w:rsidR="00500129" w:rsidRPr="00E834A9" w:rsidRDefault="001543A9" w:rsidP="00AC2E32">
            <w:pPr>
              <w:tabs>
                <w:tab w:val="left" w:pos="3969"/>
                <w:tab w:val="right" w:pos="9356"/>
              </w:tabs>
              <w:spacing w:before="120" w:after="120" w:line="240" w:lineRule="auto"/>
              <w:jc w:val="both"/>
              <w:rPr>
                <w:rFonts w:ascii="Arial" w:hAnsi="Arial" w:cs="Arial"/>
                <w:b/>
                <w:bCs/>
              </w:rPr>
            </w:pPr>
            <w:r w:rsidRPr="00E834A9">
              <w:rPr>
                <w:rFonts w:ascii="Arial" w:hAnsi="Arial" w:cs="Arial"/>
                <w:b/>
                <w:bCs/>
              </w:rPr>
              <w:t>Report Summary:</w:t>
            </w:r>
          </w:p>
        </w:tc>
        <w:tc>
          <w:tcPr>
            <w:tcW w:w="6690" w:type="dxa"/>
          </w:tcPr>
          <w:p w14:paraId="2B1D8371" w14:textId="77777777" w:rsidR="00EF699F" w:rsidRDefault="001543A9" w:rsidP="000A78C6">
            <w:pPr>
              <w:tabs>
                <w:tab w:val="left" w:pos="3969"/>
                <w:tab w:val="right" w:pos="9356"/>
              </w:tabs>
              <w:spacing w:before="120" w:after="120" w:line="240" w:lineRule="auto"/>
              <w:jc w:val="both"/>
              <w:rPr>
                <w:rFonts w:ascii="Arial" w:hAnsi="Arial" w:cs="Arial"/>
              </w:rPr>
            </w:pPr>
            <w:r w:rsidRPr="001543A9">
              <w:rPr>
                <w:rFonts w:ascii="Arial" w:hAnsi="Arial" w:cs="Arial"/>
              </w:rPr>
              <w:t xml:space="preserve">This is the </w:t>
            </w:r>
            <w:r w:rsidR="00897854">
              <w:rPr>
                <w:rFonts w:ascii="Arial" w:hAnsi="Arial" w:cs="Arial"/>
              </w:rPr>
              <w:t xml:space="preserve">first full detailed </w:t>
            </w:r>
            <w:r w:rsidRPr="001543A9">
              <w:rPr>
                <w:rFonts w:ascii="Arial" w:hAnsi="Arial" w:cs="Arial"/>
              </w:rPr>
              <w:t>integrated finance report</w:t>
            </w:r>
            <w:r w:rsidR="00897854">
              <w:rPr>
                <w:rFonts w:ascii="Arial" w:hAnsi="Arial" w:cs="Arial"/>
              </w:rPr>
              <w:t xml:space="preserve"> for the 2022/23 financial year, and also the final</w:t>
            </w:r>
            <w:r w:rsidRPr="001543A9">
              <w:rPr>
                <w:rFonts w:ascii="Arial" w:hAnsi="Arial" w:cs="Arial"/>
              </w:rPr>
              <w:t xml:space="preserve"> in </w:t>
            </w:r>
            <w:proofErr w:type="spellStart"/>
            <w:r w:rsidRPr="001543A9">
              <w:rPr>
                <w:rFonts w:ascii="Arial" w:hAnsi="Arial" w:cs="Arial"/>
              </w:rPr>
              <w:t>it’s</w:t>
            </w:r>
            <w:proofErr w:type="spellEnd"/>
            <w:r w:rsidRPr="001543A9">
              <w:rPr>
                <w:rFonts w:ascii="Arial" w:hAnsi="Arial" w:cs="Arial"/>
              </w:rPr>
              <w:t xml:space="preserve"> current form as the Tameside &amp; Glossop CCG formally closed down on 30</w:t>
            </w:r>
            <w:r w:rsidRPr="001543A9">
              <w:rPr>
                <w:rFonts w:ascii="Arial" w:hAnsi="Arial" w:cs="Arial"/>
                <w:vertAlign w:val="superscript"/>
              </w:rPr>
              <w:t>th</w:t>
            </w:r>
            <w:r w:rsidRPr="001543A9">
              <w:rPr>
                <w:rFonts w:ascii="Arial" w:hAnsi="Arial" w:cs="Arial"/>
              </w:rPr>
              <w:t xml:space="preserve"> June 2022, with responsibilities transferring to either Greater Manchester ICB or Derby &amp; Derbyshire ICB.  </w:t>
            </w:r>
          </w:p>
          <w:p w14:paraId="2B1D8373" w14:textId="03EDC8DD" w:rsidR="000A78C6" w:rsidRPr="000A78C6" w:rsidRDefault="001543A9" w:rsidP="000A78C6">
            <w:pPr>
              <w:tabs>
                <w:tab w:val="left" w:pos="3969"/>
                <w:tab w:val="right" w:pos="9356"/>
              </w:tabs>
              <w:spacing w:before="120" w:after="120" w:line="240" w:lineRule="auto"/>
              <w:jc w:val="both"/>
              <w:rPr>
                <w:rFonts w:ascii="Arial" w:hAnsi="Arial" w:cs="Arial"/>
              </w:rPr>
            </w:pPr>
            <w:r w:rsidRPr="000A78C6">
              <w:rPr>
                <w:rFonts w:ascii="Arial" w:hAnsi="Arial" w:cs="Arial"/>
              </w:rPr>
              <w:t xml:space="preserve">TMBC forecasts are for a full 12 months, but only 3 months of budgets are included for the CCG.  </w:t>
            </w:r>
            <w:r w:rsidR="00EF699F" w:rsidRPr="00EF699F">
              <w:rPr>
                <w:rFonts w:ascii="Arial" w:hAnsi="Arial" w:cs="Arial"/>
              </w:rPr>
              <w:t>The Month 3 position</w:t>
            </w:r>
            <w:r w:rsidR="00EF699F">
              <w:rPr>
                <w:rFonts w:ascii="Arial" w:hAnsi="Arial" w:cs="Arial"/>
              </w:rPr>
              <w:t xml:space="preserve"> on CCG budgets</w:t>
            </w:r>
            <w:r w:rsidR="00EF699F" w:rsidRPr="00EF699F">
              <w:rPr>
                <w:rFonts w:ascii="Arial" w:hAnsi="Arial" w:cs="Arial"/>
              </w:rPr>
              <w:t xml:space="preserve"> is </w:t>
            </w:r>
            <w:proofErr w:type="gramStart"/>
            <w:r w:rsidR="00EF699F" w:rsidRPr="00EF699F">
              <w:rPr>
                <w:rFonts w:ascii="Arial" w:hAnsi="Arial" w:cs="Arial"/>
              </w:rPr>
              <w:t>an underspend</w:t>
            </w:r>
            <w:proofErr w:type="gramEnd"/>
            <w:r w:rsidR="00EF699F" w:rsidRPr="00EF699F">
              <w:rPr>
                <w:rFonts w:ascii="Arial" w:hAnsi="Arial" w:cs="Arial"/>
              </w:rPr>
              <w:t xml:space="preserve"> of </w:t>
            </w:r>
            <w:r w:rsidR="00EF699F" w:rsidRPr="00EF699F">
              <w:rPr>
                <w:rFonts w:ascii="Arial" w:hAnsi="Arial" w:cs="Arial"/>
                <w:b/>
                <w:bCs/>
              </w:rPr>
              <w:t xml:space="preserve">£1,375k </w:t>
            </w:r>
            <w:r w:rsidR="00EF699F" w:rsidRPr="00EF699F">
              <w:rPr>
                <w:rFonts w:ascii="Arial" w:hAnsi="Arial" w:cs="Arial"/>
              </w:rPr>
              <w:t>due to allocations not being profiled in line with projected spend.  An allocation adjustment is included in the position, bringing the CCG overall variance to nil</w:t>
            </w:r>
          </w:p>
          <w:p w14:paraId="2B1D8374" w14:textId="77777777" w:rsidR="00EF699F" w:rsidRPr="00EF699F" w:rsidRDefault="001543A9" w:rsidP="00EF699F">
            <w:pPr>
              <w:tabs>
                <w:tab w:val="left" w:pos="3969"/>
                <w:tab w:val="right" w:pos="9356"/>
              </w:tabs>
              <w:spacing w:before="120" w:after="120" w:line="240" w:lineRule="auto"/>
              <w:jc w:val="both"/>
              <w:rPr>
                <w:rFonts w:ascii="Arial" w:hAnsi="Arial" w:cs="Arial"/>
              </w:rPr>
            </w:pPr>
            <w:r w:rsidRPr="000A78C6">
              <w:rPr>
                <w:rFonts w:ascii="Arial" w:hAnsi="Arial" w:cs="Arial"/>
              </w:rPr>
              <w:t xml:space="preserve">Whilst still early in the financial year, </w:t>
            </w:r>
            <w:r w:rsidRPr="00EF699F">
              <w:rPr>
                <w:rFonts w:ascii="Arial" w:hAnsi="Arial" w:cs="Arial"/>
              </w:rPr>
              <w:t xml:space="preserve">the Council is facing significant and growing inflationary pressures across a number of areas, combined with demand pressures in Adults and Children’s services, resulting in a significant forecast overspend by 31 March 2023 of </w:t>
            </w:r>
            <w:r w:rsidRPr="00EF699F">
              <w:rPr>
                <w:rFonts w:ascii="Arial" w:hAnsi="Arial" w:cs="Arial"/>
                <w:b/>
                <w:bCs/>
              </w:rPr>
              <w:t xml:space="preserve">(£12,850k).  </w:t>
            </w:r>
            <w:r w:rsidRPr="00EF699F">
              <w:rPr>
                <w:rFonts w:ascii="Arial" w:hAnsi="Arial" w:cs="Arial"/>
              </w:rPr>
              <w:t>The position has deteriorated since period 2 due to growing pressures in Adults social care, additional pressures on SEN Home to School Transport and an increase in forecast cost pressures and savings shortfalls in Place.</w:t>
            </w:r>
            <w:r>
              <w:rPr>
                <w:rFonts w:ascii="Arial" w:hAnsi="Arial" w:cs="Arial"/>
              </w:rPr>
              <w:t xml:space="preserve">  </w:t>
            </w:r>
            <w:r w:rsidRPr="00EF699F">
              <w:rPr>
                <w:rFonts w:ascii="Arial" w:hAnsi="Arial" w:cs="Arial"/>
              </w:rPr>
              <w:t xml:space="preserve">The current forecast  </w:t>
            </w:r>
            <w:r>
              <w:rPr>
                <w:rFonts w:ascii="Arial" w:hAnsi="Arial" w:cs="Arial"/>
              </w:rPr>
              <w:t xml:space="preserve">  </w:t>
            </w:r>
            <w:r w:rsidRPr="00EF699F">
              <w:rPr>
                <w:rFonts w:ascii="Arial" w:hAnsi="Arial" w:cs="Arial"/>
              </w:rPr>
              <w:t>assumes a Local Government pay award within the budgeted 2%, which if significantly greater than this will place further pressures on the budget.  The forecast position is mitigated slightly by the release of contingency relating to transitional social care costs and additional investment income resulting f</w:t>
            </w:r>
            <w:r>
              <w:rPr>
                <w:rFonts w:ascii="Arial" w:hAnsi="Arial" w:cs="Arial"/>
              </w:rPr>
              <w:t>rom</w:t>
            </w:r>
            <w:r w:rsidRPr="00EF699F">
              <w:rPr>
                <w:rFonts w:ascii="Arial" w:hAnsi="Arial" w:cs="Arial"/>
              </w:rPr>
              <w:t xml:space="preserve"> interest rate rises.</w:t>
            </w:r>
          </w:p>
          <w:p w14:paraId="2B1D8375" w14:textId="3F5B2018" w:rsidR="00B84183" w:rsidRPr="002B335E" w:rsidRDefault="00B84183">
            <w:pPr>
              <w:tabs>
                <w:tab w:val="left" w:pos="3969"/>
                <w:tab w:val="right" w:pos="9356"/>
              </w:tabs>
              <w:spacing w:before="120" w:after="120" w:line="240" w:lineRule="auto"/>
              <w:jc w:val="both"/>
              <w:rPr>
                <w:rFonts w:ascii="Arial" w:hAnsi="Arial" w:cs="Arial"/>
              </w:rPr>
            </w:pPr>
          </w:p>
        </w:tc>
      </w:tr>
      <w:tr w:rsidR="001A64A2" w14:paraId="2B1D837D" w14:textId="77777777" w:rsidTr="002F4C86">
        <w:trPr>
          <w:jc w:val="center"/>
        </w:trPr>
        <w:tc>
          <w:tcPr>
            <w:tcW w:w="3288" w:type="dxa"/>
          </w:tcPr>
          <w:p w14:paraId="2B1D8377" w14:textId="77777777" w:rsidR="00500129" w:rsidRPr="00E834A9" w:rsidRDefault="001543A9" w:rsidP="00AC2E32">
            <w:pPr>
              <w:tabs>
                <w:tab w:val="left" w:pos="3969"/>
                <w:tab w:val="right" w:pos="9356"/>
              </w:tabs>
              <w:spacing w:before="120" w:after="120" w:line="240" w:lineRule="auto"/>
              <w:jc w:val="both"/>
              <w:rPr>
                <w:rFonts w:ascii="Arial" w:hAnsi="Arial" w:cs="Arial"/>
                <w:b/>
                <w:bCs/>
              </w:rPr>
            </w:pPr>
            <w:r w:rsidRPr="00E834A9">
              <w:rPr>
                <w:rFonts w:ascii="Arial" w:hAnsi="Arial" w:cs="Arial"/>
                <w:b/>
                <w:bCs/>
              </w:rPr>
              <w:t>Recommendations:</w:t>
            </w:r>
          </w:p>
        </w:tc>
        <w:tc>
          <w:tcPr>
            <w:tcW w:w="6690" w:type="dxa"/>
          </w:tcPr>
          <w:p w14:paraId="2B1D8378" w14:textId="77777777" w:rsidR="00EF699F" w:rsidRDefault="001543A9" w:rsidP="002D233E">
            <w:pPr>
              <w:autoSpaceDE w:val="0"/>
              <w:autoSpaceDN w:val="0"/>
              <w:adjustRightInd w:val="0"/>
              <w:spacing w:before="100" w:after="120" w:line="240" w:lineRule="auto"/>
              <w:jc w:val="both"/>
              <w:rPr>
                <w:rFonts w:ascii="Arial" w:hAnsi="Arial" w:cs="Arial"/>
                <w:color w:val="000000"/>
                <w:lang w:eastAsia="en-GB"/>
              </w:rPr>
            </w:pPr>
            <w:r>
              <w:rPr>
                <w:rFonts w:ascii="Arial" w:hAnsi="Arial" w:cs="Arial"/>
                <w:color w:val="000000"/>
                <w:lang w:eastAsia="en-GB"/>
              </w:rPr>
              <w:t>Members are recommended to:</w:t>
            </w:r>
          </w:p>
          <w:p w14:paraId="2B1D8379" w14:textId="480574AC" w:rsidR="00EF699F" w:rsidRDefault="001543A9" w:rsidP="001543A9">
            <w:pPr>
              <w:pStyle w:val="ListParagraph"/>
              <w:numPr>
                <w:ilvl w:val="0"/>
                <w:numId w:val="7"/>
              </w:numPr>
              <w:autoSpaceDE w:val="0"/>
              <w:autoSpaceDN w:val="0"/>
              <w:adjustRightInd w:val="0"/>
              <w:spacing w:before="100" w:after="120" w:line="240" w:lineRule="auto"/>
              <w:jc w:val="both"/>
              <w:rPr>
                <w:rFonts w:ascii="Arial" w:hAnsi="Arial" w:cs="Arial"/>
                <w:color w:val="000000"/>
                <w:lang w:eastAsia="en-GB"/>
              </w:rPr>
            </w:pPr>
            <w:r>
              <w:rPr>
                <w:rFonts w:ascii="Arial" w:hAnsi="Arial" w:cs="Arial"/>
                <w:color w:val="000000"/>
                <w:lang w:eastAsia="en-GB"/>
              </w:rPr>
              <w:t>N</w:t>
            </w:r>
            <w:r w:rsidRPr="001543A9">
              <w:rPr>
                <w:rFonts w:ascii="Arial" w:hAnsi="Arial" w:cs="Arial"/>
                <w:color w:val="000000"/>
                <w:lang w:eastAsia="en-GB"/>
              </w:rPr>
              <w:t>ote the forecast outturn position and associated risks for 202</w:t>
            </w:r>
            <w:r w:rsidR="000A78C6" w:rsidRPr="001543A9">
              <w:rPr>
                <w:rFonts w:ascii="Arial" w:hAnsi="Arial" w:cs="Arial"/>
                <w:color w:val="000000"/>
                <w:lang w:eastAsia="en-GB"/>
              </w:rPr>
              <w:t>2/23</w:t>
            </w:r>
            <w:r w:rsidRPr="001543A9">
              <w:rPr>
                <w:rFonts w:ascii="Arial" w:hAnsi="Arial" w:cs="Arial"/>
                <w:color w:val="000000"/>
                <w:lang w:eastAsia="en-GB"/>
              </w:rPr>
              <w:t xml:space="preserve"> as set out in </w:t>
            </w:r>
            <w:r w:rsidRPr="001543A9">
              <w:rPr>
                <w:rFonts w:ascii="Arial" w:hAnsi="Arial" w:cs="Arial"/>
                <w:b/>
                <w:color w:val="000000"/>
                <w:lang w:eastAsia="en-GB"/>
              </w:rPr>
              <w:t xml:space="preserve">Appendix 1 </w:t>
            </w:r>
            <w:r w:rsidRPr="001543A9">
              <w:rPr>
                <w:rFonts w:ascii="Arial" w:hAnsi="Arial" w:cs="Arial"/>
                <w:color w:val="000000"/>
                <w:lang w:eastAsia="en-GB"/>
              </w:rPr>
              <w:t xml:space="preserve">and </w:t>
            </w:r>
            <w:r w:rsidRPr="001543A9">
              <w:rPr>
                <w:rFonts w:ascii="Arial" w:hAnsi="Arial" w:cs="Arial"/>
                <w:b/>
                <w:color w:val="000000"/>
                <w:lang w:eastAsia="en-GB"/>
              </w:rPr>
              <w:t>Appendix 2</w:t>
            </w:r>
            <w:r>
              <w:rPr>
                <w:rFonts w:ascii="Arial" w:hAnsi="Arial" w:cs="Arial"/>
                <w:color w:val="000000"/>
                <w:lang w:eastAsia="en-GB"/>
              </w:rPr>
              <w:t>;</w:t>
            </w:r>
          </w:p>
          <w:p w14:paraId="2B1D837A" w14:textId="77777777" w:rsidR="00EF699F" w:rsidRPr="001543A9" w:rsidRDefault="001543A9" w:rsidP="001543A9">
            <w:pPr>
              <w:pStyle w:val="ListParagraph"/>
              <w:numPr>
                <w:ilvl w:val="0"/>
                <w:numId w:val="7"/>
              </w:numPr>
              <w:autoSpaceDE w:val="0"/>
              <w:autoSpaceDN w:val="0"/>
              <w:adjustRightInd w:val="0"/>
              <w:spacing w:before="100" w:after="120" w:line="240" w:lineRule="auto"/>
              <w:jc w:val="both"/>
              <w:rPr>
                <w:rFonts w:ascii="Arial" w:hAnsi="Arial" w:cs="Arial"/>
                <w:color w:val="000000"/>
                <w:lang w:eastAsia="en-GB"/>
              </w:rPr>
            </w:pPr>
            <w:r w:rsidRPr="001543A9">
              <w:rPr>
                <w:rFonts w:ascii="Arial" w:hAnsi="Arial" w:cs="Arial"/>
                <w:b/>
                <w:color w:val="000000"/>
                <w:lang w:eastAsia="en-GB"/>
              </w:rPr>
              <w:t>Approve</w:t>
            </w:r>
            <w:r>
              <w:rPr>
                <w:rFonts w:ascii="Arial" w:hAnsi="Arial" w:cs="Arial"/>
                <w:color w:val="000000"/>
                <w:lang w:eastAsia="en-GB"/>
              </w:rPr>
              <w:t xml:space="preserve"> the reserve transfers set out on pages 36 to 38 of </w:t>
            </w:r>
            <w:r>
              <w:rPr>
                <w:rFonts w:ascii="Arial" w:hAnsi="Arial" w:cs="Arial"/>
                <w:b/>
                <w:color w:val="000000"/>
                <w:lang w:eastAsia="en-GB"/>
              </w:rPr>
              <w:t xml:space="preserve">Appendix 2; </w:t>
            </w:r>
            <w:r w:rsidRPr="001543A9">
              <w:rPr>
                <w:rFonts w:ascii="Arial" w:hAnsi="Arial" w:cs="Arial"/>
                <w:color w:val="000000"/>
                <w:lang w:eastAsia="en-GB"/>
              </w:rPr>
              <w:t>and</w:t>
            </w:r>
          </w:p>
          <w:p w14:paraId="2B1D837B" w14:textId="1459B471" w:rsidR="00217547" w:rsidRPr="001543A9" w:rsidRDefault="001543A9" w:rsidP="001543A9">
            <w:pPr>
              <w:pStyle w:val="ListParagraph"/>
              <w:numPr>
                <w:ilvl w:val="0"/>
                <w:numId w:val="7"/>
              </w:numPr>
              <w:autoSpaceDE w:val="0"/>
              <w:autoSpaceDN w:val="0"/>
              <w:adjustRightInd w:val="0"/>
              <w:spacing w:before="100" w:after="120" w:line="240" w:lineRule="auto"/>
              <w:jc w:val="both"/>
              <w:rPr>
                <w:rFonts w:ascii="Arial" w:hAnsi="Arial" w:cs="Arial"/>
                <w:color w:val="000000"/>
                <w:lang w:eastAsia="en-GB"/>
              </w:rPr>
            </w:pPr>
            <w:r w:rsidRPr="001543A9">
              <w:rPr>
                <w:rFonts w:ascii="Arial" w:hAnsi="Arial" w:cs="Arial"/>
                <w:b/>
                <w:color w:val="000000"/>
                <w:lang w:eastAsia="en-GB"/>
              </w:rPr>
              <w:t>Approve</w:t>
            </w:r>
            <w:r>
              <w:rPr>
                <w:rFonts w:ascii="Arial" w:hAnsi="Arial" w:cs="Arial"/>
                <w:color w:val="000000"/>
                <w:lang w:eastAsia="en-GB"/>
              </w:rPr>
              <w:t xml:space="preserve"> the budget </w:t>
            </w:r>
            <w:proofErr w:type="spellStart"/>
            <w:r>
              <w:rPr>
                <w:rFonts w:ascii="Arial" w:hAnsi="Arial" w:cs="Arial"/>
                <w:color w:val="000000"/>
                <w:lang w:eastAsia="en-GB"/>
              </w:rPr>
              <w:t>virements</w:t>
            </w:r>
            <w:proofErr w:type="spellEnd"/>
            <w:r>
              <w:rPr>
                <w:rFonts w:ascii="Arial" w:hAnsi="Arial" w:cs="Arial"/>
                <w:color w:val="000000"/>
                <w:lang w:eastAsia="en-GB"/>
              </w:rPr>
              <w:t xml:space="preserve"> set out on pages 39 to 42 of </w:t>
            </w:r>
            <w:r w:rsidRPr="001543A9">
              <w:rPr>
                <w:rFonts w:ascii="Arial" w:hAnsi="Arial" w:cs="Arial"/>
                <w:b/>
                <w:color w:val="000000"/>
                <w:lang w:eastAsia="en-GB"/>
              </w:rPr>
              <w:t>Appendix 2</w:t>
            </w:r>
            <w:r>
              <w:rPr>
                <w:rFonts w:ascii="Arial" w:hAnsi="Arial" w:cs="Arial"/>
                <w:color w:val="000000"/>
                <w:lang w:eastAsia="en-GB"/>
              </w:rPr>
              <w:t>.</w:t>
            </w:r>
            <w:r w:rsidR="00622505" w:rsidRPr="001543A9">
              <w:rPr>
                <w:rFonts w:ascii="Arial" w:hAnsi="Arial" w:cs="Arial"/>
                <w:color w:val="000000"/>
                <w:lang w:eastAsia="en-GB"/>
              </w:rPr>
              <w:t xml:space="preserve">  </w:t>
            </w:r>
          </w:p>
          <w:p w14:paraId="2B1D837C" w14:textId="77777777" w:rsidR="00FB1162" w:rsidRPr="002D233E" w:rsidRDefault="00FB1162">
            <w:pPr>
              <w:autoSpaceDE w:val="0"/>
              <w:autoSpaceDN w:val="0"/>
              <w:adjustRightInd w:val="0"/>
              <w:spacing w:before="100" w:after="120" w:line="240" w:lineRule="auto"/>
              <w:jc w:val="both"/>
              <w:rPr>
                <w:rFonts w:ascii="Arial" w:hAnsi="Arial" w:cs="Arial"/>
                <w:color w:val="000000"/>
                <w:lang w:eastAsia="en-GB"/>
              </w:rPr>
            </w:pPr>
          </w:p>
        </w:tc>
      </w:tr>
      <w:tr w:rsidR="001A64A2" w14:paraId="2B1D8380" w14:textId="77777777" w:rsidTr="002F4C86">
        <w:trPr>
          <w:jc w:val="center"/>
        </w:trPr>
        <w:tc>
          <w:tcPr>
            <w:tcW w:w="3288" w:type="dxa"/>
          </w:tcPr>
          <w:p w14:paraId="2B1D837E" w14:textId="77777777" w:rsidR="004C43AA" w:rsidRPr="00E834A9" w:rsidRDefault="001543A9" w:rsidP="00AC2E32">
            <w:pPr>
              <w:tabs>
                <w:tab w:val="left" w:pos="3969"/>
                <w:tab w:val="right" w:pos="9356"/>
              </w:tabs>
              <w:spacing w:before="120" w:after="120" w:line="240" w:lineRule="auto"/>
              <w:jc w:val="both"/>
              <w:rPr>
                <w:rFonts w:ascii="Arial" w:hAnsi="Arial" w:cs="Arial"/>
                <w:b/>
                <w:bCs/>
              </w:rPr>
            </w:pPr>
            <w:r w:rsidRPr="00E834A9">
              <w:rPr>
                <w:rFonts w:ascii="Arial" w:hAnsi="Arial" w:cs="Arial"/>
                <w:b/>
                <w:bCs/>
              </w:rPr>
              <w:t>Policy Implications:</w:t>
            </w:r>
          </w:p>
        </w:tc>
        <w:tc>
          <w:tcPr>
            <w:tcW w:w="6690" w:type="dxa"/>
          </w:tcPr>
          <w:p w14:paraId="2B1D837F" w14:textId="77777777" w:rsidR="004C43AA" w:rsidRPr="00E834A9" w:rsidRDefault="001543A9" w:rsidP="0065173F">
            <w:pPr>
              <w:tabs>
                <w:tab w:val="left" w:pos="3969"/>
                <w:tab w:val="right" w:pos="9356"/>
              </w:tabs>
              <w:spacing w:before="120" w:after="120" w:line="240" w:lineRule="auto"/>
              <w:jc w:val="both"/>
              <w:rPr>
                <w:rFonts w:ascii="Arial" w:hAnsi="Arial" w:cs="Arial"/>
                <w:color w:val="FF0000"/>
              </w:rPr>
            </w:pPr>
            <w:r w:rsidRPr="009276A1">
              <w:rPr>
                <w:rFonts w:ascii="Arial" w:hAnsi="Arial" w:cs="Arial"/>
                <w:color w:val="000000"/>
                <w:lang w:eastAsia="en-GB"/>
              </w:rPr>
              <w:t>Budget is allocated in accordance with Council</w:t>
            </w:r>
            <w:r>
              <w:rPr>
                <w:rFonts w:ascii="Arial" w:hAnsi="Arial" w:cs="Arial"/>
                <w:color w:val="000000"/>
                <w:lang w:eastAsia="en-GB"/>
              </w:rPr>
              <w:t>/CCG</w:t>
            </w:r>
            <w:r w:rsidRPr="009276A1">
              <w:rPr>
                <w:rFonts w:ascii="Arial" w:hAnsi="Arial" w:cs="Arial"/>
                <w:color w:val="000000"/>
                <w:lang w:eastAsia="en-GB"/>
              </w:rPr>
              <w:t xml:space="preserve"> Policy</w:t>
            </w:r>
          </w:p>
        </w:tc>
      </w:tr>
      <w:tr w:rsidR="001A64A2" w14:paraId="2B1D838A" w14:textId="77777777" w:rsidTr="002F4C86">
        <w:trPr>
          <w:jc w:val="center"/>
        </w:trPr>
        <w:tc>
          <w:tcPr>
            <w:tcW w:w="3288" w:type="dxa"/>
          </w:tcPr>
          <w:p w14:paraId="2B1D8381" w14:textId="77777777" w:rsidR="004C43AA" w:rsidRPr="00E834A9" w:rsidRDefault="001543A9" w:rsidP="004C43AA">
            <w:pPr>
              <w:tabs>
                <w:tab w:val="left" w:pos="3969"/>
                <w:tab w:val="right" w:pos="9356"/>
              </w:tabs>
              <w:spacing w:before="120" w:after="0" w:line="240" w:lineRule="auto"/>
              <w:jc w:val="both"/>
              <w:rPr>
                <w:rFonts w:ascii="Arial" w:hAnsi="Arial" w:cs="Arial"/>
                <w:b/>
                <w:bCs/>
              </w:rPr>
            </w:pPr>
            <w:r w:rsidRPr="00E834A9">
              <w:rPr>
                <w:rFonts w:ascii="Arial" w:hAnsi="Arial" w:cs="Arial"/>
                <w:b/>
                <w:bCs/>
              </w:rPr>
              <w:lastRenderedPageBreak/>
              <w:t>Financial Implications:</w:t>
            </w:r>
          </w:p>
          <w:p w14:paraId="2B1D8382" w14:textId="77777777" w:rsidR="004C43AA" w:rsidRPr="00E834A9" w:rsidRDefault="001543A9" w:rsidP="004C43AA">
            <w:pPr>
              <w:tabs>
                <w:tab w:val="left" w:pos="3969"/>
                <w:tab w:val="right" w:pos="9356"/>
              </w:tabs>
              <w:spacing w:before="120" w:after="120" w:line="240" w:lineRule="auto"/>
              <w:jc w:val="both"/>
              <w:rPr>
                <w:rFonts w:ascii="Arial" w:hAnsi="Arial" w:cs="Arial"/>
                <w:b/>
                <w:bCs/>
              </w:rPr>
            </w:pPr>
            <w:r>
              <w:rPr>
                <w:rFonts w:ascii="Arial" w:hAnsi="Arial" w:cs="Arial"/>
                <w:b/>
                <w:bCs/>
              </w:rPr>
              <w:t xml:space="preserve">(Authorised by the Section 151 Officer </w:t>
            </w:r>
            <w:r w:rsidRPr="002E3494">
              <w:rPr>
                <w:rFonts w:ascii="Arial" w:eastAsia="Times New Roman" w:hAnsi="Arial" w:cs="Arial"/>
                <w:b/>
                <w:color w:val="000000"/>
              </w:rPr>
              <w:t>&amp; Chief Finance Officer</w:t>
            </w:r>
            <w:r w:rsidRPr="00E834A9">
              <w:rPr>
                <w:rFonts w:ascii="Arial" w:hAnsi="Arial" w:cs="Arial"/>
                <w:b/>
                <w:bCs/>
              </w:rPr>
              <w:t>)</w:t>
            </w:r>
          </w:p>
        </w:tc>
        <w:tc>
          <w:tcPr>
            <w:tcW w:w="6690" w:type="dxa"/>
          </w:tcPr>
          <w:p w14:paraId="2B1D8383" w14:textId="77777777" w:rsidR="000A78C6" w:rsidRDefault="001543A9" w:rsidP="004C43AA">
            <w:pPr>
              <w:spacing w:before="120" w:after="120" w:line="240" w:lineRule="auto"/>
              <w:jc w:val="both"/>
              <w:rPr>
                <w:rFonts w:ascii="Arial" w:hAnsi="Arial" w:cs="Arial"/>
                <w:color w:val="000000"/>
              </w:rPr>
            </w:pPr>
            <w:r w:rsidRPr="00740A55">
              <w:rPr>
                <w:rFonts w:ascii="Arial" w:hAnsi="Arial" w:cs="Arial"/>
                <w:color w:val="000000"/>
              </w:rPr>
              <w:t>This report provides the 20</w:t>
            </w:r>
            <w:r>
              <w:rPr>
                <w:rFonts w:ascii="Arial" w:hAnsi="Arial" w:cs="Arial"/>
                <w:color w:val="000000"/>
              </w:rPr>
              <w:t>22/23</w:t>
            </w:r>
            <w:r w:rsidRPr="00740A55">
              <w:rPr>
                <w:rFonts w:ascii="Arial" w:hAnsi="Arial" w:cs="Arial"/>
                <w:color w:val="000000"/>
              </w:rPr>
              <w:t xml:space="preserve"> consolidated financial position statement at </w:t>
            </w:r>
            <w:r>
              <w:rPr>
                <w:rFonts w:ascii="Arial" w:hAnsi="Arial" w:cs="Arial"/>
                <w:color w:val="000000"/>
              </w:rPr>
              <w:t xml:space="preserve">31 May 2022 </w:t>
            </w:r>
            <w:r w:rsidRPr="00740A55">
              <w:rPr>
                <w:rFonts w:ascii="Arial" w:hAnsi="Arial" w:cs="Arial"/>
                <w:color w:val="000000"/>
              </w:rPr>
              <w:t xml:space="preserve">for the Strategic </w:t>
            </w:r>
            <w:r w:rsidRPr="00364218">
              <w:rPr>
                <w:rFonts w:ascii="Arial" w:hAnsi="Arial" w:cs="Arial"/>
                <w:color w:val="000000"/>
              </w:rPr>
              <w:t xml:space="preserve">Commission and ICFT partner organisations. </w:t>
            </w:r>
          </w:p>
          <w:p w14:paraId="2B1D8384" w14:textId="77777777" w:rsidR="000A78C6" w:rsidRDefault="001543A9" w:rsidP="004C43AA">
            <w:pPr>
              <w:spacing w:before="120" w:after="120" w:line="240" w:lineRule="auto"/>
              <w:jc w:val="both"/>
              <w:rPr>
                <w:rFonts w:ascii="Arial" w:hAnsi="Arial" w:cs="Arial"/>
                <w:color w:val="000000"/>
              </w:rPr>
            </w:pPr>
            <w:r>
              <w:rPr>
                <w:rFonts w:ascii="Arial" w:hAnsi="Arial" w:cs="Arial"/>
                <w:color w:val="000000"/>
              </w:rPr>
              <w:t>The Council set a balanced budget for 2022/23 in February 2022.  This was achieved through the utilisation of one-off funding, very challenging savings targets and an increase in Council Tax.   The budget assumed limited pay inflation, no general inflation and funded known demographic and cost pressures in Adults and Children’s Social Care, but with a challenging savings target for Children’s Services.</w:t>
            </w:r>
          </w:p>
          <w:p w14:paraId="2B1D8385" w14:textId="77777777" w:rsidR="000A78C6" w:rsidRDefault="001543A9" w:rsidP="004C43AA">
            <w:pPr>
              <w:spacing w:before="120" w:after="120" w:line="240" w:lineRule="auto"/>
              <w:jc w:val="both"/>
              <w:rPr>
                <w:rFonts w:ascii="Arial" w:hAnsi="Arial" w:cs="Arial"/>
                <w:color w:val="000000"/>
              </w:rPr>
            </w:pPr>
            <w:r>
              <w:rPr>
                <w:rFonts w:ascii="Arial" w:hAnsi="Arial" w:cs="Arial"/>
                <w:color w:val="000000"/>
              </w:rPr>
              <w:t>Since setting the Council Budget in early February 2022, the economic landscape has changed adversely, with significant inflationary pressures impacting both generally and in specific service areas</w:t>
            </w:r>
            <w:r w:rsidR="008877A8">
              <w:rPr>
                <w:rFonts w:ascii="Arial" w:hAnsi="Arial" w:cs="Arial"/>
                <w:color w:val="000000"/>
              </w:rPr>
              <w:t>.  These changes present both cost pressures and challenges in delivering savings and additional income targets, presenting risks to the delivery of a balanced position in 2022/23.</w:t>
            </w:r>
          </w:p>
          <w:p w14:paraId="2B1D8386" w14:textId="77777777" w:rsidR="008877A8" w:rsidRPr="008877A8" w:rsidRDefault="001543A9" w:rsidP="008877A8">
            <w:pPr>
              <w:spacing w:before="120" w:after="120" w:line="240" w:lineRule="auto"/>
              <w:jc w:val="both"/>
              <w:rPr>
                <w:rFonts w:ascii="Arial" w:hAnsi="Arial" w:cs="Arial"/>
                <w:color w:val="000000"/>
              </w:rPr>
            </w:pPr>
            <w:r w:rsidRPr="008877A8">
              <w:rPr>
                <w:rFonts w:ascii="Arial" w:hAnsi="Arial" w:cs="Arial"/>
                <w:color w:val="000000"/>
              </w:rPr>
              <w:t>2022/23 will be a year of significant change in the NHS, with the formation of Integrated Care Boards to replace CCGs from 1</w:t>
            </w:r>
            <w:r w:rsidRPr="008877A8">
              <w:rPr>
                <w:rFonts w:ascii="Arial" w:hAnsi="Arial" w:cs="Arial"/>
                <w:color w:val="000000"/>
                <w:vertAlign w:val="superscript"/>
              </w:rPr>
              <w:t>st</w:t>
            </w:r>
            <w:r w:rsidRPr="008877A8">
              <w:rPr>
                <w:rFonts w:ascii="Arial" w:hAnsi="Arial" w:cs="Arial"/>
                <w:color w:val="000000"/>
              </w:rPr>
              <w:t xml:space="preserve"> July.  For Tameside registered patients, responsibilities will transfer to the Greater Manchester ICB.  While commissioning responsibility for patients in Glossop is due to transfer to Derby &amp; Derbyshire ICB, resulting in an alignment of healthcare commissioning footprints to those of the Local Authority, enabling more joined up health and social care services in the future.  Due Diligence is still ongoing with colleagues in Derbyshire to ensure a safe transition of services, while calculating a true and fair split of resources between GM and Derbyshire in line with previously agreed principles.</w:t>
            </w:r>
          </w:p>
          <w:p w14:paraId="2B1D8387" w14:textId="77777777" w:rsidR="008877A8" w:rsidRPr="008877A8" w:rsidRDefault="001543A9" w:rsidP="008877A8">
            <w:pPr>
              <w:spacing w:before="120" w:after="120" w:line="240" w:lineRule="auto"/>
              <w:jc w:val="both"/>
              <w:rPr>
                <w:rFonts w:ascii="Arial" w:hAnsi="Arial" w:cs="Arial"/>
                <w:color w:val="000000"/>
              </w:rPr>
            </w:pPr>
            <w:r w:rsidRPr="008877A8">
              <w:rPr>
                <w:rFonts w:ascii="Arial" w:hAnsi="Arial" w:cs="Arial"/>
                <w:color w:val="000000"/>
              </w:rPr>
              <w:t>This national transition was originally planned for April, but has since been pushed back to July.  Before the postponement, plans were under development at an ICB level for a full 12 months, from an initial base of existing CCG and provider positions.</w:t>
            </w:r>
          </w:p>
          <w:p w14:paraId="2B1D8388" w14:textId="77777777" w:rsidR="008877A8" w:rsidRDefault="001543A9" w:rsidP="008877A8">
            <w:pPr>
              <w:spacing w:before="120" w:after="120" w:line="240" w:lineRule="auto"/>
              <w:jc w:val="both"/>
              <w:rPr>
                <w:rFonts w:ascii="Arial" w:hAnsi="Arial" w:cs="Arial"/>
                <w:color w:val="000000"/>
              </w:rPr>
            </w:pPr>
            <w:r w:rsidRPr="008877A8">
              <w:rPr>
                <w:rFonts w:ascii="Arial" w:hAnsi="Arial" w:cs="Arial"/>
                <w:color w:val="000000"/>
              </w:rPr>
              <w:t>25% of these initially submitted plans have been released to CCGs in the form of Q1 allocations.  Adjustments will be made at the end of Q1 to ensure CCGs breakeven at closedown, with any under or overspend carried forward into future ICB budgets.  It is important to note that Q1 allocations ignore seasonality profiles (e.g. winter pressures), which may skew the reported position somewhat</w:t>
            </w:r>
            <w:r>
              <w:rPr>
                <w:rFonts w:ascii="Arial" w:hAnsi="Arial" w:cs="Arial"/>
                <w:color w:val="000000"/>
              </w:rPr>
              <w:t>.</w:t>
            </w:r>
          </w:p>
          <w:p w14:paraId="2B1D8389" w14:textId="77777777" w:rsidR="004C43AA" w:rsidRPr="00E834A9" w:rsidRDefault="001543A9" w:rsidP="00F00BBB">
            <w:pPr>
              <w:tabs>
                <w:tab w:val="left" w:pos="3969"/>
                <w:tab w:val="right" w:pos="9356"/>
              </w:tabs>
              <w:spacing w:before="120" w:after="120" w:line="240" w:lineRule="auto"/>
              <w:jc w:val="both"/>
              <w:rPr>
                <w:rFonts w:ascii="Arial" w:hAnsi="Arial" w:cs="Arial"/>
                <w:color w:val="000000"/>
              </w:rPr>
            </w:pPr>
            <w:r w:rsidRPr="00740A55">
              <w:rPr>
                <w:rFonts w:ascii="Arial" w:hAnsi="Arial" w:cs="Arial"/>
                <w:color w:val="000000"/>
              </w:rPr>
              <w:t>It should be noted that the Integrated Commissioning Fund (ICF) for the Strategic Commission is bound by the terms within the Section 75 and associated Financial Framework agreements.</w:t>
            </w:r>
          </w:p>
        </w:tc>
      </w:tr>
      <w:tr w:rsidR="001A64A2" w14:paraId="2B1D8394" w14:textId="77777777" w:rsidTr="002F4C86">
        <w:trPr>
          <w:trHeight w:val="499"/>
          <w:jc w:val="center"/>
        </w:trPr>
        <w:tc>
          <w:tcPr>
            <w:tcW w:w="3288" w:type="dxa"/>
            <w:shd w:val="clear" w:color="auto" w:fill="auto"/>
          </w:tcPr>
          <w:p w14:paraId="2B1D838B" w14:textId="77777777" w:rsidR="004C43AA" w:rsidRPr="00E834A9" w:rsidRDefault="001543A9" w:rsidP="00AC2E32">
            <w:pPr>
              <w:tabs>
                <w:tab w:val="left" w:pos="3969"/>
                <w:tab w:val="right" w:pos="9356"/>
              </w:tabs>
              <w:spacing w:before="120" w:after="0" w:line="240" w:lineRule="auto"/>
              <w:jc w:val="both"/>
              <w:rPr>
                <w:rFonts w:ascii="Arial" w:hAnsi="Arial" w:cs="Arial"/>
                <w:b/>
                <w:bCs/>
              </w:rPr>
            </w:pPr>
            <w:r w:rsidRPr="00E834A9">
              <w:rPr>
                <w:rFonts w:ascii="Arial" w:hAnsi="Arial" w:cs="Arial"/>
                <w:b/>
                <w:bCs/>
              </w:rPr>
              <w:t>Legal Implications:</w:t>
            </w:r>
          </w:p>
          <w:p w14:paraId="2B1D838C" w14:textId="77777777" w:rsidR="004C43AA" w:rsidRPr="00E834A9" w:rsidRDefault="001543A9" w:rsidP="00AC2E32">
            <w:pPr>
              <w:tabs>
                <w:tab w:val="left" w:pos="3969"/>
                <w:tab w:val="right" w:pos="9356"/>
              </w:tabs>
              <w:spacing w:after="120" w:line="240" w:lineRule="auto"/>
              <w:rPr>
                <w:rFonts w:ascii="Arial" w:hAnsi="Arial" w:cs="Arial"/>
                <w:b/>
                <w:bCs/>
              </w:rPr>
            </w:pPr>
            <w:r>
              <w:rPr>
                <w:rFonts w:ascii="Arial" w:hAnsi="Arial" w:cs="Arial"/>
                <w:b/>
                <w:bCs/>
              </w:rPr>
              <w:t>(Authorised by the Borough Solicitor)</w:t>
            </w:r>
          </w:p>
        </w:tc>
        <w:tc>
          <w:tcPr>
            <w:tcW w:w="6690" w:type="dxa"/>
          </w:tcPr>
          <w:p w14:paraId="2B1D838D" w14:textId="77777777" w:rsidR="008877A8" w:rsidRPr="001543A9" w:rsidRDefault="001543A9" w:rsidP="008877A8">
            <w:pPr>
              <w:autoSpaceDE w:val="0"/>
              <w:autoSpaceDN w:val="0"/>
              <w:adjustRightInd w:val="0"/>
              <w:spacing w:before="120" w:after="120" w:line="240" w:lineRule="auto"/>
              <w:jc w:val="both"/>
              <w:rPr>
                <w:rFonts w:ascii="Arial" w:hAnsi="Arial" w:cs="Arial"/>
              </w:rPr>
            </w:pPr>
            <w:r w:rsidRPr="001543A9">
              <w:rPr>
                <w:rFonts w:ascii="Arial" w:hAnsi="Arial" w:cs="Arial"/>
              </w:rPr>
              <w:t xml:space="preserve">The Local Government Act 1972 (Sec 151) states that “every local authority shall make arrangements for the proper administration of their financial affairs…” </w:t>
            </w:r>
          </w:p>
          <w:p w14:paraId="2B1D838E" w14:textId="56857E3C" w:rsidR="008877A8" w:rsidRPr="0017582C" w:rsidRDefault="001543A9" w:rsidP="008877A8">
            <w:pPr>
              <w:autoSpaceDE w:val="0"/>
              <w:autoSpaceDN w:val="0"/>
              <w:adjustRightInd w:val="0"/>
              <w:spacing w:before="120" w:after="120" w:line="240" w:lineRule="auto"/>
              <w:jc w:val="both"/>
              <w:rPr>
                <w:rFonts w:ascii="Arial" w:hAnsi="Arial" w:cs="Arial"/>
              </w:rPr>
            </w:pPr>
            <w:r w:rsidRPr="001543A9">
              <w:rPr>
                <w:rFonts w:ascii="Arial" w:hAnsi="Arial" w:cs="Arial"/>
              </w:rPr>
              <w:t xml:space="preserve">Revenue monitoring is an essential part of these arrangements to provide Members with the opportunity to understand and probe the council’s financial position. Members will note that the current </w:t>
            </w:r>
            <w:r w:rsidRPr="0017582C">
              <w:rPr>
                <w:rFonts w:ascii="Arial" w:hAnsi="Arial" w:cs="Arial"/>
              </w:rPr>
              <w:t>outturn position is currently predicting a forecast net defici</w:t>
            </w:r>
            <w:r>
              <w:rPr>
                <w:rFonts w:ascii="Arial" w:hAnsi="Arial" w:cs="Arial"/>
              </w:rPr>
              <w:t xml:space="preserve">t on </w:t>
            </w:r>
            <w:proofErr w:type="gramStart"/>
            <w:r>
              <w:rPr>
                <w:rFonts w:ascii="Arial" w:hAnsi="Arial" w:cs="Arial"/>
              </w:rPr>
              <w:t xml:space="preserve">the </w:t>
            </w:r>
            <w:r w:rsidRPr="0017582C">
              <w:rPr>
                <w:rFonts w:ascii="Arial" w:hAnsi="Arial" w:cs="Arial"/>
              </w:rPr>
              <w:t xml:space="preserve"> Counci</w:t>
            </w:r>
            <w:r>
              <w:rPr>
                <w:rFonts w:ascii="Arial" w:hAnsi="Arial" w:cs="Arial"/>
              </w:rPr>
              <w:t>l’s</w:t>
            </w:r>
            <w:proofErr w:type="gramEnd"/>
            <w:r>
              <w:rPr>
                <w:rFonts w:ascii="Arial" w:hAnsi="Arial" w:cs="Arial"/>
              </w:rPr>
              <w:t xml:space="preserve"> </w:t>
            </w:r>
            <w:r w:rsidRPr="0017582C">
              <w:rPr>
                <w:rFonts w:ascii="Arial" w:hAnsi="Arial" w:cs="Arial"/>
              </w:rPr>
              <w:t xml:space="preserve"> budget</w:t>
            </w:r>
            <w:r>
              <w:rPr>
                <w:rFonts w:ascii="Arial" w:hAnsi="Arial" w:cs="Arial"/>
              </w:rPr>
              <w:t>.</w:t>
            </w:r>
            <w:r w:rsidRPr="0017582C">
              <w:rPr>
                <w:rFonts w:ascii="Arial" w:hAnsi="Arial" w:cs="Arial"/>
              </w:rPr>
              <w:t xml:space="preserve"> </w:t>
            </w:r>
          </w:p>
          <w:p w14:paraId="2B1D838F" w14:textId="77777777" w:rsidR="0017582C" w:rsidRPr="0017582C" w:rsidRDefault="001543A9" w:rsidP="008877A8">
            <w:pPr>
              <w:autoSpaceDE w:val="0"/>
              <w:autoSpaceDN w:val="0"/>
              <w:adjustRightInd w:val="0"/>
              <w:spacing w:before="120" w:after="120" w:line="240" w:lineRule="auto"/>
              <w:jc w:val="both"/>
              <w:rPr>
                <w:rFonts w:ascii="Arial" w:hAnsi="Arial" w:cs="Arial"/>
              </w:rPr>
            </w:pPr>
            <w:r w:rsidRPr="0017582C">
              <w:rPr>
                <w:rFonts w:ascii="Arial" w:hAnsi="Arial" w:cs="Arial"/>
              </w:rPr>
              <w:t xml:space="preserve">As the council has a legal duty to deliver a balanced budget by the end of the financial year Members need to be content that there is </w:t>
            </w:r>
            <w:r w:rsidRPr="0017582C">
              <w:rPr>
                <w:rFonts w:ascii="Arial" w:hAnsi="Arial" w:cs="Arial"/>
              </w:rPr>
              <w:lastRenderedPageBreak/>
              <w:t>a robust plan in place to ensure that the council’s final budget position will be balanced.</w:t>
            </w:r>
          </w:p>
          <w:p w14:paraId="2B1D8390" w14:textId="77777777" w:rsidR="0017582C" w:rsidRPr="0017582C" w:rsidRDefault="001543A9" w:rsidP="008877A8">
            <w:pPr>
              <w:autoSpaceDE w:val="0"/>
              <w:autoSpaceDN w:val="0"/>
              <w:adjustRightInd w:val="0"/>
              <w:spacing w:before="120" w:after="120" w:line="240" w:lineRule="auto"/>
              <w:jc w:val="both"/>
              <w:rPr>
                <w:rFonts w:ascii="Arial" w:hAnsi="Arial" w:cs="Arial"/>
              </w:rPr>
            </w:pPr>
            <w:r w:rsidRPr="0017582C">
              <w:rPr>
                <w:rFonts w:ascii="Arial" w:hAnsi="Arial" w:cs="Arial"/>
              </w:rPr>
              <w:t xml:space="preserve">Members also need to be aware that the Council has a duty to retain a sufficient level of reserves. That level is not stipulated in legislation rather the duty to ensure that the level of reserves is sufficient rests with the Council’s 151 Officer. Reserves by their very nature are finite and should be used sparingly as the Council is unlikely to be in a position to build its reserves up in the foreseeable future given the economic climate and budgetary pressures. </w:t>
            </w:r>
          </w:p>
          <w:p w14:paraId="2B1D8391" w14:textId="77777777" w:rsidR="0017582C" w:rsidRPr="0017582C" w:rsidRDefault="0017582C" w:rsidP="008877A8">
            <w:pPr>
              <w:autoSpaceDE w:val="0"/>
              <w:autoSpaceDN w:val="0"/>
              <w:adjustRightInd w:val="0"/>
              <w:spacing w:before="120" w:after="120" w:line="240" w:lineRule="auto"/>
              <w:jc w:val="both"/>
              <w:rPr>
                <w:rFonts w:ascii="Arial" w:hAnsi="Arial" w:cs="Arial"/>
              </w:rPr>
            </w:pPr>
          </w:p>
          <w:p w14:paraId="2B1D8392" w14:textId="77777777" w:rsidR="008877A8" w:rsidRPr="0032284E" w:rsidRDefault="001543A9" w:rsidP="008877A8">
            <w:pPr>
              <w:autoSpaceDE w:val="0"/>
              <w:autoSpaceDN w:val="0"/>
              <w:adjustRightInd w:val="0"/>
              <w:spacing w:before="120" w:after="120" w:line="240" w:lineRule="auto"/>
              <w:jc w:val="both"/>
              <w:rPr>
                <w:rFonts w:ascii="Arial" w:hAnsi="Arial" w:cs="Arial"/>
              </w:rPr>
            </w:pPr>
            <w:r w:rsidRPr="0017582C">
              <w:rPr>
                <w:rFonts w:ascii="Arial" w:hAnsi="Arial" w:cs="Arial"/>
              </w:rPr>
              <w:t xml:space="preserve">If the Council is not able to deliver a balanced budget it will be in breach of the Local Government Act 1972 which will result in intervention by the Secretary of State.  </w:t>
            </w:r>
            <w:proofErr w:type="gramStart"/>
            <w:r w:rsidRPr="0017582C">
              <w:rPr>
                <w:rFonts w:ascii="Arial" w:hAnsi="Arial" w:cs="Arial"/>
              </w:rPr>
              <w:t>can</w:t>
            </w:r>
            <w:proofErr w:type="gramEnd"/>
            <w:r w:rsidRPr="0017582C">
              <w:rPr>
                <w:rFonts w:ascii="Arial" w:hAnsi="Arial" w:cs="Arial"/>
              </w:rPr>
              <w:t xml:space="preserve"> result in intervention by the Secretary of State.</w:t>
            </w:r>
          </w:p>
          <w:p w14:paraId="2B1D8393" w14:textId="77777777" w:rsidR="004C43AA" w:rsidRPr="009E6731" w:rsidRDefault="004C43AA" w:rsidP="006E74D0">
            <w:pPr>
              <w:tabs>
                <w:tab w:val="left" w:pos="3969"/>
                <w:tab w:val="right" w:pos="9356"/>
              </w:tabs>
              <w:spacing w:before="120" w:after="120" w:line="240" w:lineRule="auto"/>
              <w:jc w:val="both"/>
              <w:rPr>
                <w:rFonts w:ascii="Arial" w:hAnsi="Arial" w:cs="Arial"/>
                <w:color w:val="000000"/>
              </w:rPr>
            </w:pPr>
          </w:p>
        </w:tc>
      </w:tr>
      <w:tr w:rsidR="001A64A2" w14:paraId="2B1D8398" w14:textId="77777777" w:rsidTr="002F4C86">
        <w:trPr>
          <w:trHeight w:val="485"/>
          <w:jc w:val="center"/>
        </w:trPr>
        <w:tc>
          <w:tcPr>
            <w:tcW w:w="3288" w:type="dxa"/>
          </w:tcPr>
          <w:p w14:paraId="2B1D8395" w14:textId="77777777" w:rsidR="004C43AA" w:rsidRPr="00E834A9" w:rsidRDefault="001543A9" w:rsidP="00D80429">
            <w:pPr>
              <w:tabs>
                <w:tab w:val="left" w:pos="3969"/>
                <w:tab w:val="right" w:pos="9356"/>
              </w:tabs>
              <w:spacing w:before="120" w:after="120" w:line="240" w:lineRule="auto"/>
              <w:rPr>
                <w:rFonts w:ascii="Arial" w:hAnsi="Arial" w:cs="Arial"/>
                <w:b/>
                <w:bCs/>
              </w:rPr>
            </w:pPr>
            <w:r w:rsidRPr="00E834A9">
              <w:rPr>
                <w:rFonts w:ascii="Arial" w:hAnsi="Arial" w:cs="Arial"/>
                <w:b/>
                <w:bCs/>
              </w:rPr>
              <w:lastRenderedPageBreak/>
              <w:t>Risk Management:</w:t>
            </w:r>
          </w:p>
        </w:tc>
        <w:tc>
          <w:tcPr>
            <w:tcW w:w="6690" w:type="dxa"/>
          </w:tcPr>
          <w:p w14:paraId="2B1D8396" w14:textId="77777777" w:rsidR="004C43AA" w:rsidRDefault="001543A9" w:rsidP="00D80429">
            <w:pPr>
              <w:spacing w:before="120" w:after="120" w:line="240" w:lineRule="auto"/>
              <w:jc w:val="both"/>
              <w:rPr>
                <w:rFonts w:ascii="Arial" w:eastAsia="Times New Roman" w:hAnsi="Arial" w:cs="Arial"/>
                <w:color w:val="000000"/>
              </w:rPr>
            </w:pPr>
            <w:r>
              <w:rPr>
                <w:rFonts w:ascii="Arial" w:eastAsia="Times New Roman" w:hAnsi="Arial" w:cs="Arial"/>
                <w:color w:val="000000"/>
              </w:rPr>
              <w:t>Associated details</w:t>
            </w:r>
            <w:r w:rsidRPr="002E3494">
              <w:rPr>
                <w:rFonts w:ascii="Arial" w:eastAsia="Times New Roman" w:hAnsi="Arial" w:cs="Arial"/>
                <w:color w:val="000000"/>
              </w:rPr>
              <w:t xml:space="preserve"> are </w:t>
            </w:r>
            <w:r>
              <w:rPr>
                <w:rFonts w:ascii="Arial" w:eastAsia="Times New Roman" w:hAnsi="Arial" w:cs="Arial"/>
                <w:color w:val="000000"/>
              </w:rPr>
              <w:t>specified</w:t>
            </w:r>
            <w:r w:rsidRPr="002E3494">
              <w:rPr>
                <w:rFonts w:ascii="Arial" w:eastAsia="Times New Roman" w:hAnsi="Arial" w:cs="Arial"/>
                <w:color w:val="000000"/>
              </w:rPr>
              <w:t xml:space="preserve"> </w:t>
            </w:r>
            <w:r>
              <w:rPr>
                <w:rFonts w:ascii="Arial" w:eastAsia="Times New Roman" w:hAnsi="Arial" w:cs="Arial"/>
                <w:color w:val="000000"/>
              </w:rPr>
              <w:t>within the presentation.</w:t>
            </w:r>
          </w:p>
          <w:p w14:paraId="2B1D8397" w14:textId="77777777" w:rsidR="004C43AA" w:rsidRPr="002F4C86" w:rsidRDefault="001543A9" w:rsidP="00D80429">
            <w:pPr>
              <w:tabs>
                <w:tab w:val="left" w:pos="3969"/>
                <w:tab w:val="right" w:pos="9356"/>
              </w:tabs>
              <w:spacing w:before="120" w:after="120" w:line="240" w:lineRule="auto"/>
              <w:jc w:val="both"/>
              <w:rPr>
                <w:rFonts w:ascii="Arial" w:hAnsi="Arial" w:cs="Arial"/>
                <w:bCs/>
              </w:rPr>
            </w:pPr>
            <w:r w:rsidRPr="007E6EB7">
              <w:rPr>
                <w:rFonts w:ascii="Arial" w:hAnsi="Arial" w:cs="Arial"/>
                <w:bCs/>
              </w:rPr>
              <w:t xml:space="preserve">Failure to properly manage and monitor the </w:t>
            </w:r>
            <w:r>
              <w:rPr>
                <w:rFonts w:ascii="Arial" w:hAnsi="Arial" w:cs="Arial"/>
                <w:bCs/>
              </w:rPr>
              <w:t>Strategic Commission’s</w:t>
            </w:r>
            <w:r w:rsidRPr="007E6EB7">
              <w:rPr>
                <w:rFonts w:ascii="Arial" w:hAnsi="Arial" w:cs="Arial"/>
                <w:bCs/>
              </w:rPr>
              <w:t xml:space="preserve"> budgets will lead to service failure and a loss of public confidence.  Expenditure in excess of budgeted resources is likely to result in a call on </w:t>
            </w:r>
            <w:r>
              <w:rPr>
                <w:rFonts w:ascii="Arial" w:hAnsi="Arial" w:cs="Arial"/>
                <w:bCs/>
              </w:rPr>
              <w:t xml:space="preserve">Council </w:t>
            </w:r>
            <w:r w:rsidRPr="007E6EB7">
              <w:rPr>
                <w:rFonts w:ascii="Arial" w:hAnsi="Arial" w:cs="Arial"/>
                <w:bCs/>
              </w:rPr>
              <w:t xml:space="preserve">reserves, which will reduce the resources available for future investment.  The use and reliance on one off measures to balance the budget is not sustainable and makes it more difficult in future years to recover the budget position.  </w:t>
            </w:r>
          </w:p>
        </w:tc>
      </w:tr>
      <w:tr w:rsidR="001A64A2" w14:paraId="2B1D83A2" w14:textId="77777777" w:rsidTr="002F4C86">
        <w:trPr>
          <w:trHeight w:val="110"/>
          <w:jc w:val="center"/>
        </w:trPr>
        <w:tc>
          <w:tcPr>
            <w:tcW w:w="3288" w:type="dxa"/>
          </w:tcPr>
          <w:p w14:paraId="2B1D8399" w14:textId="77777777" w:rsidR="004C43AA" w:rsidRPr="00E834A9" w:rsidRDefault="001543A9" w:rsidP="00AC2E32">
            <w:pPr>
              <w:tabs>
                <w:tab w:val="left" w:pos="3969"/>
                <w:tab w:val="right" w:pos="9356"/>
              </w:tabs>
              <w:spacing w:before="120" w:after="120" w:line="240" w:lineRule="auto"/>
              <w:jc w:val="both"/>
              <w:rPr>
                <w:rFonts w:ascii="Arial" w:hAnsi="Arial" w:cs="Arial"/>
                <w:b/>
                <w:bCs/>
              </w:rPr>
            </w:pPr>
            <w:r>
              <w:rPr>
                <w:rFonts w:ascii="Arial" w:hAnsi="Arial" w:cs="Arial"/>
                <w:b/>
                <w:bCs/>
              </w:rPr>
              <w:t>Background Papers:</w:t>
            </w:r>
          </w:p>
        </w:tc>
        <w:tc>
          <w:tcPr>
            <w:tcW w:w="6690" w:type="dxa"/>
          </w:tcPr>
          <w:p w14:paraId="2B1D839A" w14:textId="77777777" w:rsidR="004C43AA" w:rsidRPr="002E3494" w:rsidRDefault="001543A9" w:rsidP="008D16C1">
            <w:pPr>
              <w:tabs>
                <w:tab w:val="left" w:pos="3969"/>
                <w:tab w:val="right" w:pos="9356"/>
              </w:tabs>
              <w:spacing w:before="100" w:after="120" w:line="240" w:lineRule="auto"/>
              <w:jc w:val="both"/>
              <w:rPr>
                <w:rFonts w:ascii="Arial" w:hAnsi="Arial" w:cs="Arial"/>
                <w:bCs/>
              </w:rPr>
            </w:pPr>
            <w:r w:rsidRPr="002E3494">
              <w:rPr>
                <w:rFonts w:ascii="Arial" w:hAnsi="Arial" w:cs="Arial"/>
                <w:bCs/>
              </w:rPr>
              <w:t>Background papers relating to this report can be inspected by contacting :</w:t>
            </w:r>
          </w:p>
          <w:p w14:paraId="2B1D839B" w14:textId="77777777" w:rsidR="004C43AA" w:rsidRPr="00740A55" w:rsidRDefault="001543A9" w:rsidP="008D16C1">
            <w:pPr>
              <w:tabs>
                <w:tab w:val="left" w:pos="3969"/>
                <w:tab w:val="right" w:pos="9356"/>
              </w:tabs>
              <w:spacing w:before="100" w:after="120" w:line="240" w:lineRule="auto"/>
              <w:jc w:val="both"/>
              <w:rPr>
                <w:rFonts w:ascii="Arial" w:hAnsi="Arial" w:cs="Arial"/>
                <w:bCs/>
              </w:rPr>
            </w:pPr>
            <w:r>
              <w:rPr>
                <w:rFonts w:ascii="Arial" w:hAnsi="Arial" w:cs="Arial"/>
                <w:bCs/>
              </w:rPr>
              <w:t>Caroline</w:t>
            </w:r>
            <w:r w:rsidRPr="00740A55">
              <w:rPr>
                <w:rFonts w:ascii="Arial" w:hAnsi="Arial" w:cs="Arial"/>
                <w:bCs/>
              </w:rPr>
              <w:t xml:space="preserve"> </w:t>
            </w:r>
            <w:r>
              <w:rPr>
                <w:rFonts w:ascii="Arial" w:hAnsi="Arial" w:cs="Arial"/>
                <w:bCs/>
              </w:rPr>
              <w:t>Barlow</w:t>
            </w:r>
            <w:r w:rsidRPr="00740A55">
              <w:rPr>
                <w:rFonts w:ascii="Arial" w:hAnsi="Arial" w:cs="Arial"/>
                <w:bCs/>
              </w:rPr>
              <w:t xml:space="preserve">, </w:t>
            </w:r>
            <w:r>
              <w:rPr>
                <w:rFonts w:ascii="Arial" w:hAnsi="Arial" w:cs="Arial"/>
                <w:bCs/>
              </w:rPr>
              <w:t xml:space="preserve">Assistant </w:t>
            </w:r>
            <w:r w:rsidRPr="00740A55">
              <w:rPr>
                <w:rFonts w:ascii="Arial" w:hAnsi="Arial" w:cs="Arial"/>
                <w:bCs/>
              </w:rPr>
              <w:t>Director of Finance, Tameside Metropolitan Borough Council</w:t>
            </w:r>
          </w:p>
          <w:p w14:paraId="2B1D839C" w14:textId="77777777" w:rsidR="004C43AA" w:rsidRPr="00740A55" w:rsidRDefault="001543A9" w:rsidP="008D16C1">
            <w:pPr>
              <w:tabs>
                <w:tab w:val="left" w:pos="3969"/>
                <w:tab w:val="right" w:pos="9356"/>
              </w:tabs>
              <w:spacing w:before="100" w:after="120" w:line="240" w:lineRule="auto"/>
              <w:jc w:val="both"/>
              <w:rPr>
                <w:rFonts w:ascii="Arial" w:hAnsi="Arial" w:cs="Arial"/>
                <w:bCs/>
              </w:rPr>
            </w:pPr>
            <w:r w:rsidRPr="00845181">
              <w:rPr>
                <w:noProof/>
                <w:lang w:eastAsia="en-GB"/>
              </w:rPr>
              <w:drawing>
                <wp:inline distT="0" distB="0" distL="0" distR="0" wp14:anchorId="2B1D83C9" wp14:editId="2B1D83CA">
                  <wp:extent cx="307340" cy="1905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66889" name="Picture 7"/>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7340" cy="190500"/>
                          </a:xfrm>
                          <a:prstGeom prst="rect">
                            <a:avLst/>
                          </a:prstGeom>
                          <a:noFill/>
                          <a:ln>
                            <a:noFill/>
                          </a:ln>
                        </pic:spPr>
                      </pic:pic>
                    </a:graphicData>
                  </a:graphic>
                </wp:inline>
              </w:drawing>
            </w:r>
            <w:r w:rsidRPr="00740A55">
              <w:rPr>
                <w:rFonts w:ascii="Arial" w:hAnsi="Arial" w:cs="Arial"/>
                <w:color w:val="000000"/>
              </w:rPr>
              <w:t>Telephone:</w:t>
            </w:r>
            <w:r w:rsidRPr="00740A55">
              <w:rPr>
                <w:rFonts w:ascii="Arial" w:hAnsi="Arial" w:cs="Arial"/>
                <w:bCs/>
              </w:rPr>
              <w:t>0161 342 5609</w:t>
            </w:r>
          </w:p>
          <w:p w14:paraId="2B1D839D" w14:textId="77777777" w:rsidR="004C43AA" w:rsidRPr="0050759A" w:rsidRDefault="001543A9" w:rsidP="008D16C1">
            <w:pPr>
              <w:tabs>
                <w:tab w:val="left" w:pos="3969"/>
                <w:tab w:val="right" w:pos="9356"/>
              </w:tabs>
              <w:spacing w:before="100" w:after="120" w:line="240" w:lineRule="auto"/>
              <w:contextualSpacing/>
              <w:jc w:val="both"/>
              <w:rPr>
                <w:rFonts w:ascii="Arial" w:hAnsi="Arial" w:cs="Arial"/>
                <w:sz w:val="16"/>
                <w:szCs w:val="16"/>
              </w:rPr>
            </w:pPr>
            <w:r w:rsidRPr="008D16C1">
              <w:rPr>
                <w:rFonts w:ascii="Arial" w:hAnsi="Arial" w:cs="Arial"/>
                <w:noProof/>
                <w:lang w:eastAsia="en-GB"/>
              </w:rPr>
              <w:drawing>
                <wp:inline distT="0" distB="0" distL="0" distR="0" wp14:anchorId="2B1D83CB" wp14:editId="2B1D83CC">
                  <wp:extent cx="314325" cy="1974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975613"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14325" cy="197485"/>
                          </a:xfrm>
                          <a:prstGeom prst="rect">
                            <a:avLst/>
                          </a:prstGeom>
                          <a:noFill/>
                          <a:ln>
                            <a:noFill/>
                          </a:ln>
                        </pic:spPr>
                      </pic:pic>
                    </a:graphicData>
                  </a:graphic>
                </wp:inline>
              </w:drawing>
            </w:r>
            <w:r w:rsidRPr="00740A55">
              <w:rPr>
                <w:rFonts w:ascii="Arial" w:hAnsi="Arial" w:cs="Arial"/>
                <w:color w:val="000000"/>
              </w:rPr>
              <w:t xml:space="preserve">e-mail: </w:t>
            </w:r>
            <w:hyperlink r:id="rId8" w:history="1">
              <w:r w:rsidR="00B0536C">
                <w:rPr>
                  <w:rStyle w:val="Hyperlink"/>
                  <w:rFonts w:ascii="Arial" w:hAnsi="Arial" w:cs="Arial"/>
                </w:rPr>
                <w:t>caroline.barlow</w:t>
              </w:r>
              <w:r w:rsidR="00B0536C" w:rsidRPr="000D477C">
                <w:rPr>
                  <w:rStyle w:val="Hyperlink"/>
                  <w:rFonts w:ascii="Arial" w:hAnsi="Arial" w:cs="Arial"/>
                </w:rPr>
                <w:t>@tameside.gov.uk</w:t>
              </w:r>
            </w:hyperlink>
          </w:p>
          <w:p w14:paraId="2B1D839E" w14:textId="77777777" w:rsidR="008877A8" w:rsidRDefault="008877A8" w:rsidP="008D16C1">
            <w:pPr>
              <w:tabs>
                <w:tab w:val="left" w:pos="3969"/>
                <w:tab w:val="right" w:pos="9356"/>
              </w:tabs>
              <w:spacing w:before="100" w:after="120" w:line="240" w:lineRule="auto"/>
              <w:jc w:val="both"/>
              <w:rPr>
                <w:rFonts w:ascii="Arial" w:hAnsi="Arial" w:cs="Arial"/>
                <w:bCs/>
              </w:rPr>
            </w:pPr>
          </w:p>
          <w:p w14:paraId="2B1D83A1" w14:textId="1828DF49" w:rsidR="004C43AA" w:rsidRPr="006E74D0" w:rsidRDefault="004C43AA" w:rsidP="006E74D0">
            <w:pPr>
              <w:tabs>
                <w:tab w:val="left" w:pos="3969"/>
                <w:tab w:val="right" w:pos="9356"/>
              </w:tabs>
              <w:spacing w:before="100" w:after="120" w:line="240" w:lineRule="auto"/>
              <w:jc w:val="both"/>
              <w:rPr>
                <w:rFonts w:ascii="Arial" w:hAnsi="Arial" w:cs="Arial"/>
                <w:color w:val="0000FF"/>
                <w:u w:val="single"/>
              </w:rPr>
            </w:pPr>
          </w:p>
        </w:tc>
      </w:tr>
    </w:tbl>
    <w:p w14:paraId="2B1D83A3" w14:textId="77777777" w:rsidR="00D80429" w:rsidRDefault="00D80429" w:rsidP="0046255F">
      <w:pPr>
        <w:spacing w:after="0" w:line="240" w:lineRule="auto"/>
        <w:jc w:val="both"/>
        <w:rPr>
          <w:rFonts w:ascii="Arial Bold" w:hAnsi="Arial Bold" w:cs="Arial"/>
          <w:b/>
          <w:caps/>
        </w:rPr>
      </w:pPr>
    </w:p>
    <w:p w14:paraId="2B1D83A4" w14:textId="77777777" w:rsidR="00D80429" w:rsidRDefault="001543A9">
      <w:pPr>
        <w:spacing w:after="0" w:line="240" w:lineRule="auto"/>
        <w:rPr>
          <w:rFonts w:ascii="Arial Bold" w:hAnsi="Arial Bold" w:cs="Arial"/>
          <w:b/>
          <w:caps/>
        </w:rPr>
      </w:pPr>
      <w:r>
        <w:rPr>
          <w:rFonts w:ascii="Arial Bold" w:hAnsi="Arial Bold" w:cs="Arial"/>
          <w:b/>
          <w:caps/>
        </w:rPr>
        <w:br w:type="page"/>
      </w:r>
    </w:p>
    <w:p w14:paraId="2B1D83A5" w14:textId="77777777" w:rsidR="000514BE" w:rsidRPr="007B6956" w:rsidRDefault="001543A9" w:rsidP="002C197C">
      <w:pPr>
        <w:widowControl w:val="0"/>
        <w:spacing w:after="0" w:line="240" w:lineRule="auto"/>
        <w:jc w:val="both"/>
        <w:rPr>
          <w:rFonts w:ascii="Arial" w:hAnsi="Arial" w:cs="Arial"/>
          <w:b/>
          <w:caps/>
          <w:color w:val="000000"/>
        </w:rPr>
      </w:pPr>
      <w:r w:rsidRPr="007B6956">
        <w:rPr>
          <w:rFonts w:ascii="Arial" w:hAnsi="Arial" w:cs="Arial"/>
          <w:b/>
          <w:caps/>
          <w:color w:val="000000"/>
        </w:rPr>
        <w:lastRenderedPageBreak/>
        <w:t xml:space="preserve">1. </w:t>
      </w:r>
      <w:r w:rsidRPr="007B6956">
        <w:rPr>
          <w:rFonts w:ascii="Arial" w:hAnsi="Arial" w:cs="Arial"/>
          <w:b/>
          <w:caps/>
          <w:color w:val="000000"/>
        </w:rPr>
        <w:tab/>
        <w:t>background</w:t>
      </w:r>
    </w:p>
    <w:p w14:paraId="2B1D83A6" w14:textId="77777777" w:rsidR="000514BE" w:rsidRPr="00606F4D" w:rsidRDefault="000514BE" w:rsidP="002C197C">
      <w:pPr>
        <w:widowControl w:val="0"/>
        <w:spacing w:after="0" w:line="240" w:lineRule="auto"/>
        <w:ind w:left="720" w:hanging="720"/>
        <w:contextualSpacing/>
        <w:jc w:val="both"/>
        <w:rPr>
          <w:rFonts w:ascii="Arial" w:hAnsi="Arial" w:cs="Arial"/>
          <w:caps/>
          <w:color w:val="000000"/>
        </w:rPr>
      </w:pPr>
    </w:p>
    <w:p w14:paraId="2B1D83A7" w14:textId="77777777" w:rsidR="00E57508" w:rsidRPr="002D233E" w:rsidRDefault="001543A9" w:rsidP="002D233E">
      <w:pPr>
        <w:widowControl w:val="0"/>
        <w:numPr>
          <w:ilvl w:val="1"/>
          <w:numId w:val="4"/>
        </w:numPr>
        <w:spacing w:after="0" w:line="240" w:lineRule="auto"/>
        <w:jc w:val="both"/>
        <w:rPr>
          <w:rFonts w:ascii="Arial" w:eastAsia="Times New Roman" w:hAnsi="Arial" w:cs="Arial"/>
          <w:b/>
          <w:bCs/>
          <w:color w:val="000000"/>
          <w:lang w:eastAsia="en-GB"/>
        </w:rPr>
      </w:pPr>
      <w:r>
        <w:rPr>
          <w:rFonts w:ascii="Arial" w:eastAsia="Times New Roman" w:hAnsi="Arial" w:cs="Arial"/>
          <w:color w:val="000000"/>
          <w:lang w:eastAsia="en-GB"/>
        </w:rPr>
        <w:t xml:space="preserve">Monthly integrated finance reports are usually prepared to provide an </w:t>
      </w:r>
      <w:r w:rsidRPr="00B444F0">
        <w:rPr>
          <w:rFonts w:ascii="Arial" w:eastAsia="Times New Roman" w:hAnsi="Arial" w:cs="Arial"/>
          <w:color w:val="000000"/>
          <w:lang w:eastAsia="en-GB"/>
        </w:rPr>
        <w:t>overview on the financial position of the Tameside and Glossop economy</w:t>
      </w:r>
      <w:r w:rsidRPr="00B444F0">
        <w:rPr>
          <w:rFonts w:ascii="Arial" w:eastAsia="Times New Roman" w:hAnsi="Arial" w:cs="Arial"/>
          <w:b/>
          <w:bCs/>
          <w:color w:val="000000"/>
          <w:lang w:eastAsia="en-GB"/>
        </w:rPr>
        <w:t>.</w:t>
      </w:r>
    </w:p>
    <w:p w14:paraId="2B1D83A8" w14:textId="77777777" w:rsidR="002C197C" w:rsidRPr="006D2E56" w:rsidRDefault="002C197C" w:rsidP="002C197C">
      <w:pPr>
        <w:widowControl w:val="0"/>
        <w:spacing w:after="0" w:line="240" w:lineRule="auto"/>
        <w:ind w:left="705"/>
        <w:jc w:val="both"/>
        <w:rPr>
          <w:rFonts w:ascii="Arial" w:eastAsia="Times New Roman" w:hAnsi="Arial" w:cs="Arial"/>
          <w:bCs/>
          <w:color w:val="000000"/>
          <w:lang w:eastAsia="en-GB"/>
        </w:rPr>
      </w:pPr>
    </w:p>
    <w:p w14:paraId="2B1D83A9" w14:textId="730AADE3" w:rsidR="00DC113F" w:rsidRPr="00DC113F" w:rsidRDefault="001543A9" w:rsidP="00DC113F">
      <w:pPr>
        <w:pStyle w:val="ListParagraph"/>
        <w:widowControl w:val="0"/>
        <w:numPr>
          <w:ilvl w:val="1"/>
          <w:numId w:val="4"/>
        </w:numPr>
        <w:spacing w:after="0" w:line="240" w:lineRule="auto"/>
        <w:jc w:val="both"/>
        <w:rPr>
          <w:rFonts w:ascii="Arial" w:eastAsia="Times New Roman" w:hAnsi="Arial" w:cs="Arial"/>
          <w:color w:val="000000"/>
          <w:lang w:eastAsia="en-GB"/>
        </w:rPr>
      </w:pPr>
      <w:r w:rsidRPr="00DC113F">
        <w:rPr>
          <w:rFonts w:ascii="Arial" w:eastAsia="Times New Roman" w:hAnsi="Arial" w:cs="Arial"/>
          <w:color w:val="000000"/>
          <w:lang w:eastAsia="en-GB"/>
        </w:rPr>
        <w:t>The report includes the details of the Integrated Commissioning Fund (ICF) for all Council services and the Clinical Commissioning Group. The gross revenue budget value of the ICF for 202</w:t>
      </w:r>
      <w:r w:rsidR="008877A8">
        <w:rPr>
          <w:rFonts w:ascii="Arial" w:eastAsia="Times New Roman" w:hAnsi="Arial" w:cs="Arial"/>
          <w:color w:val="000000"/>
          <w:lang w:eastAsia="en-GB"/>
        </w:rPr>
        <w:t>2/23</w:t>
      </w:r>
      <w:r w:rsidRPr="00DC113F">
        <w:rPr>
          <w:rFonts w:ascii="Arial" w:eastAsia="Times New Roman" w:hAnsi="Arial" w:cs="Arial"/>
          <w:color w:val="000000"/>
          <w:lang w:eastAsia="en-GB"/>
        </w:rPr>
        <w:t xml:space="preserve"> is reported at £</w:t>
      </w:r>
      <w:r w:rsidR="008877A8">
        <w:rPr>
          <w:rFonts w:ascii="Arial" w:eastAsia="Times New Roman" w:hAnsi="Arial" w:cs="Arial"/>
          <w:color w:val="000000"/>
          <w:lang w:eastAsia="en-GB"/>
        </w:rPr>
        <w:t>69</w:t>
      </w:r>
      <w:r w:rsidR="00EF699F">
        <w:rPr>
          <w:rFonts w:ascii="Arial" w:eastAsia="Times New Roman" w:hAnsi="Arial" w:cs="Arial"/>
          <w:color w:val="000000"/>
          <w:lang w:eastAsia="en-GB"/>
        </w:rPr>
        <w:t>5</w:t>
      </w:r>
      <w:r w:rsidRPr="00DC113F">
        <w:rPr>
          <w:rFonts w:ascii="Arial" w:eastAsia="Times New Roman" w:hAnsi="Arial" w:cs="Arial"/>
          <w:color w:val="000000"/>
          <w:lang w:eastAsia="en-GB"/>
        </w:rPr>
        <w:t xml:space="preserve"> million.   This includes a full 12 month of expenditure for the Council, but only </w:t>
      </w:r>
      <w:r w:rsidR="008877A8">
        <w:rPr>
          <w:rFonts w:ascii="Arial" w:eastAsia="Times New Roman" w:hAnsi="Arial" w:cs="Arial"/>
          <w:color w:val="000000"/>
          <w:lang w:eastAsia="en-GB"/>
        </w:rPr>
        <w:t>3</w:t>
      </w:r>
      <w:r w:rsidRPr="00DC113F">
        <w:rPr>
          <w:rFonts w:ascii="Arial" w:eastAsia="Times New Roman" w:hAnsi="Arial" w:cs="Arial"/>
          <w:color w:val="000000"/>
          <w:lang w:eastAsia="en-GB"/>
        </w:rPr>
        <w:t xml:space="preserve"> months for the CCG.  </w:t>
      </w:r>
    </w:p>
    <w:p w14:paraId="2B1D83AA" w14:textId="77777777" w:rsidR="002C197C" w:rsidRPr="002C197C" w:rsidRDefault="002C197C" w:rsidP="002C197C">
      <w:pPr>
        <w:widowControl w:val="0"/>
        <w:spacing w:after="0" w:line="240" w:lineRule="auto"/>
        <w:jc w:val="both"/>
        <w:rPr>
          <w:rFonts w:ascii="Arial" w:eastAsia="Times New Roman" w:hAnsi="Arial" w:cs="Arial"/>
          <w:color w:val="444444"/>
          <w:lang w:eastAsia="en-GB"/>
        </w:rPr>
      </w:pPr>
    </w:p>
    <w:p w14:paraId="2B1D83AB" w14:textId="77777777" w:rsidR="008D16C1" w:rsidRPr="00B444F0" w:rsidRDefault="001543A9" w:rsidP="002C197C">
      <w:pPr>
        <w:widowControl w:val="0"/>
        <w:spacing w:after="0" w:line="240" w:lineRule="auto"/>
        <w:ind w:left="709" w:hanging="709"/>
        <w:jc w:val="both"/>
        <w:rPr>
          <w:rFonts w:ascii="Helvetica" w:eastAsia="Times New Roman" w:hAnsi="Helvetica" w:cs="Arial"/>
          <w:color w:val="444444"/>
          <w:sz w:val="17"/>
          <w:szCs w:val="17"/>
          <w:lang w:eastAsia="en-GB"/>
        </w:rPr>
      </w:pPr>
      <w:r w:rsidRPr="00B444F0">
        <w:rPr>
          <w:rFonts w:ascii="Arial" w:eastAsia="Times New Roman" w:hAnsi="Arial" w:cs="Arial"/>
          <w:color w:val="000000"/>
          <w:lang w:eastAsia="en-GB"/>
        </w:rPr>
        <w:t>1.</w:t>
      </w:r>
      <w:r>
        <w:rPr>
          <w:rFonts w:ascii="Arial" w:eastAsia="Times New Roman" w:hAnsi="Arial" w:cs="Arial"/>
          <w:color w:val="000000"/>
          <w:lang w:eastAsia="en-GB"/>
        </w:rPr>
        <w:t>3</w:t>
      </w:r>
      <w:r w:rsidRPr="00B444F0">
        <w:rPr>
          <w:rFonts w:ascii="Arial" w:eastAsia="Times New Roman" w:hAnsi="Arial" w:cs="Arial"/>
          <w:color w:val="000000"/>
          <w:lang w:eastAsia="en-GB"/>
        </w:rPr>
        <w:tab/>
        <w:t>Please note that any reference throughout this report to the Tameside and Glossop economy refers to the three partner organisations namely:</w:t>
      </w:r>
    </w:p>
    <w:p w14:paraId="2B1D83AC" w14:textId="77777777" w:rsidR="008D16C1" w:rsidRPr="00B36178" w:rsidRDefault="001543A9" w:rsidP="002C197C">
      <w:pPr>
        <w:pStyle w:val="ListParagraph"/>
        <w:widowControl w:val="0"/>
        <w:numPr>
          <w:ilvl w:val="0"/>
          <w:numId w:val="3"/>
        </w:numPr>
        <w:spacing w:after="0" w:line="240" w:lineRule="auto"/>
        <w:jc w:val="both"/>
        <w:rPr>
          <w:rFonts w:ascii="Helvetica" w:eastAsia="Times New Roman" w:hAnsi="Helvetica" w:cs="Arial"/>
          <w:color w:val="444444"/>
          <w:sz w:val="17"/>
          <w:szCs w:val="17"/>
          <w:lang w:eastAsia="en-GB"/>
        </w:rPr>
      </w:pPr>
      <w:r w:rsidRPr="00B36178">
        <w:rPr>
          <w:rFonts w:ascii="Arial" w:eastAsia="Times New Roman" w:hAnsi="Arial" w:cs="Arial"/>
          <w:color w:val="000000"/>
          <w:lang w:eastAsia="en-GB"/>
        </w:rPr>
        <w:t>Tameside and Glossop Integrated Care NHS Foundation Trust (ICFT)</w:t>
      </w:r>
    </w:p>
    <w:p w14:paraId="2B1D83AD" w14:textId="77777777" w:rsidR="008D16C1" w:rsidRPr="00B36178" w:rsidRDefault="001543A9" w:rsidP="002C197C">
      <w:pPr>
        <w:pStyle w:val="ListParagraph"/>
        <w:widowControl w:val="0"/>
        <w:numPr>
          <w:ilvl w:val="0"/>
          <w:numId w:val="3"/>
        </w:numPr>
        <w:spacing w:after="0" w:line="240" w:lineRule="auto"/>
        <w:jc w:val="both"/>
        <w:rPr>
          <w:rFonts w:ascii="Helvetica" w:eastAsia="Times New Roman" w:hAnsi="Helvetica" w:cs="Arial"/>
          <w:color w:val="444444"/>
          <w:sz w:val="17"/>
          <w:szCs w:val="17"/>
          <w:lang w:eastAsia="en-GB"/>
        </w:rPr>
      </w:pPr>
      <w:r w:rsidRPr="00B36178">
        <w:rPr>
          <w:rFonts w:ascii="Arial" w:eastAsia="Times New Roman" w:hAnsi="Arial" w:cs="Arial"/>
          <w:color w:val="000000"/>
          <w:lang w:eastAsia="en-GB"/>
        </w:rPr>
        <w:t>NHS Tameside and Glossop CCG (CCG)</w:t>
      </w:r>
    </w:p>
    <w:p w14:paraId="2B1D83AE" w14:textId="77777777" w:rsidR="00970849" w:rsidRPr="004B36C9" w:rsidRDefault="001543A9" w:rsidP="002C197C">
      <w:pPr>
        <w:pStyle w:val="ListParagraph"/>
        <w:widowControl w:val="0"/>
        <w:numPr>
          <w:ilvl w:val="0"/>
          <w:numId w:val="3"/>
        </w:numPr>
        <w:spacing w:after="0" w:line="240" w:lineRule="auto"/>
        <w:jc w:val="both"/>
        <w:rPr>
          <w:rFonts w:ascii="Helvetica" w:eastAsia="Times New Roman" w:hAnsi="Helvetica" w:cs="Arial"/>
          <w:color w:val="444444"/>
          <w:sz w:val="17"/>
          <w:szCs w:val="17"/>
          <w:lang w:eastAsia="en-GB"/>
        </w:rPr>
      </w:pPr>
      <w:r w:rsidRPr="00B36178">
        <w:rPr>
          <w:rFonts w:ascii="Arial" w:eastAsia="Times New Roman" w:hAnsi="Arial" w:cs="Arial"/>
          <w:color w:val="000000"/>
          <w:lang w:eastAsia="en-GB"/>
        </w:rPr>
        <w:t>Tameside Metropolitan Borough Council (TMBC)</w:t>
      </w:r>
    </w:p>
    <w:p w14:paraId="2B1D83AF" w14:textId="77777777" w:rsidR="000514BE" w:rsidRDefault="000514BE" w:rsidP="002C197C">
      <w:pPr>
        <w:widowControl w:val="0"/>
        <w:spacing w:after="0" w:line="240" w:lineRule="auto"/>
        <w:contextualSpacing/>
        <w:jc w:val="both"/>
        <w:rPr>
          <w:rFonts w:ascii="Arial" w:hAnsi="Arial" w:cs="Arial"/>
          <w:color w:val="000000"/>
        </w:rPr>
      </w:pPr>
    </w:p>
    <w:p w14:paraId="2B1D83B0" w14:textId="77777777" w:rsidR="002F4C86" w:rsidRPr="007B6956" w:rsidRDefault="002F4C86" w:rsidP="002C197C">
      <w:pPr>
        <w:widowControl w:val="0"/>
        <w:spacing w:after="0" w:line="240" w:lineRule="auto"/>
        <w:contextualSpacing/>
        <w:jc w:val="both"/>
        <w:rPr>
          <w:rFonts w:ascii="Arial" w:hAnsi="Arial" w:cs="Arial"/>
          <w:color w:val="000000"/>
        </w:rPr>
      </w:pPr>
    </w:p>
    <w:p w14:paraId="2B1D83B1" w14:textId="77777777" w:rsidR="000514BE" w:rsidRDefault="001543A9" w:rsidP="002C197C">
      <w:pPr>
        <w:widowControl w:val="0"/>
        <w:spacing w:after="0" w:line="240" w:lineRule="auto"/>
        <w:rPr>
          <w:rFonts w:ascii="Arial" w:hAnsi="Arial" w:cs="Arial"/>
          <w:b/>
          <w:caps/>
          <w:color w:val="000000"/>
        </w:rPr>
      </w:pPr>
      <w:r>
        <w:rPr>
          <w:rFonts w:ascii="Arial" w:hAnsi="Arial" w:cs="Arial"/>
          <w:b/>
          <w:caps/>
          <w:color w:val="000000"/>
        </w:rPr>
        <w:t xml:space="preserve">2. </w:t>
      </w:r>
      <w:r>
        <w:rPr>
          <w:rFonts w:ascii="Arial" w:hAnsi="Arial" w:cs="Arial"/>
          <w:b/>
          <w:caps/>
          <w:color w:val="000000"/>
        </w:rPr>
        <w:tab/>
        <w:t>financial summary (Revenue Budgets)</w:t>
      </w:r>
    </w:p>
    <w:p w14:paraId="2B1D83B2" w14:textId="77777777" w:rsidR="004B36C9" w:rsidRDefault="004B36C9" w:rsidP="002C197C">
      <w:pPr>
        <w:widowControl w:val="0"/>
        <w:spacing w:after="0" w:line="240" w:lineRule="auto"/>
        <w:rPr>
          <w:rFonts w:ascii="Arial" w:hAnsi="Arial" w:cs="Arial"/>
          <w:b/>
          <w:caps/>
          <w:color w:val="000000"/>
        </w:rPr>
      </w:pPr>
    </w:p>
    <w:p w14:paraId="2B1D83B3" w14:textId="6ACCE8C4" w:rsidR="008877A8" w:rsidRPr="001543A9" w:rsidRDefault="001543A9" w:rsidP="001543A9">
      <w:pPr>
        <w:widowControl w:val="0"/>
        <w:spacing w:after="0" w:line="240" w:lineRule="auto"/>
        <w:ind w:left="709" w:hanging="709"/>
        <w:jc w:val="both"/>
        <w:rPr>
          <w:rFonts w:ascii="Arial" w:eastAsia="Times New Roman" w:hAnsi="Arial" w:cs="Arial"/>
          <w:color w:val="000000"/>
          <w:lang w:eastAsia="en-GB"/>
        </w:rPr>
      </w:pPr>
      <w:r>
        <w:rPr>
          <w:rFonts w:ascii="Arial" w:eastAsia="Times New Roman" w:hAnsi="Arial" w:cs="Arial"/>
          <w:color w:val="000000"/>
          <w:lang w:eastAsia="en-GB"/>
        </w:rPr>
        <w:t>2</w:t>
      </w:r>
      <w:r w:rsidRPr="00B444F0">
        <w:rPr>
          <w:rFonts w:ascii="Arial" w:eastAsia="Times New Roman" w:hAnsi="Arial" w:cs="Arial"/>
          <w:color w:val="000000"/>
          <w:lang w:eastAsia="en-GB"/>
        </w:rPr>
        <w:t>.1</w:t>
      </w:r>
      <w:r w:rsidRPr="00B444F0">
        <w:rPr>
          <w:rFonts w:ascii="Arial" w:eastAsia="Times New Roman" w:hAnsi="Arial" w:cs="Arial"/>
          <w:color w:val="000000"/>
          <w:lang w:eastAsia="en-GB"/>
        </w:rPr>
        <w:tab/>
      </w:r>
      <w:r w:rsidR="00897854" w:rsidRPr="001543A9">
        <w:rPr>
          <w:rFonts w:ascii="Arial" w:eastAsia="Times New Roman" w:hAnsi="Arial" w:cs="Arial"/>
          <w:color w:val="000000"/>
          <w:lang w:eastAsia="en-GB"/>
        </w:rPr>
        <w:t xml:space="preserve">This is the first full detailed integrated finance report for the 2022/23 financial year, and also the final in </w:t>
      </w:r>
      <w:proofErr w:type="spellStart"/>
      <w:r w:rsidR="00897854" w:rsidRPr="001543A9">
        <w:rPr>
          <w:rFonts w:ascii="Arial" w:eastAsia="Times New Roman" w:hAnsi="Arial" w:cs="Arial"/>
          <w:color w:val="000000"/>
          <w:lang w:eastAsia="en-GB"/>
        </w:rPr>
        <w:t>it’s</w:t>
      </w:r>
      <w:proofErr w:type="spellEnd"/>
      <w:r w:rsidR="00897854" w:rsidRPr="001543A9">
        <w:rPr>
          <w:rFonts w:ascii="Arial" w:eastAsia="Times New Roman" w:hAnsi="Arial" w:cs="Arial"/>
          <w:color w:val="000000"/>
          <w:lang w:eastAsia="en-GB"/>
        </w:rPr>
        <w:t xml:space="preserve"> current form as the Tameside &amp; Glossop CCG formally closed down on 30th June 2022, with responsibilities transferring to either Greater Manchester ICB or Derby &amp; Derbyshire ICB.</w:t>
      </w:r>
    </w:p>
    <w:p w14:paraId="2B1D83B4" w14:textId="77777777" w:rsidR="008877A8" w:rsidRDefault="008877A8">
      <w:pPr>
        <w:widowControl w:val="0"/>
        <w:spacing w:after="0" w:line="240" w:lineRule="auto"/>
        <w:ind w:left="709" w:hanging="709"/>
        <w:jc w:val="both"/>
        <w:rPr>
          <w:rFonts w:ascii="Arial" w:eastAsia="Times New Roman" w:hAnsi="Arial" w:cs="Arial"/>
          <w:color w:val="000000"/>
          <w:lang w:eastAsia="en-GB"/>
        </w:rPr>
      </w:pPr>
    </w:p>
    <w:p w14:paraId="2B1D83B5" w14:textId="77777777" w:rsidR="00897854" w:rsidRDefault="001543A9" w:rsidP="001543A9">
      <w:pPr>
        <w:widowControl w:val="0"/>
        <w:spacing w:after="0" w:line="240" w:lineRule="auto"/>
        <w:ind w:left="709" w:hanging="709"/>
        <w:jc w:val="both"/>
        <w:rPr>
          <w:rFonts w:ascii="Arial" w:eastAsia="Times New Roman" w:hAnsi="Arial" w:cs="Arial"/>
          <w:color w:val="000000"/>
        </w:rPr>
      </w:pPr>
      <w:r>
        <w:rPr>
          <w:rFonts w:ascii="Arial" w:eastAsia="Times New Roman" w:hAnsi="Arial" w:cs="Arial"/>
          <w:color w:val="000000"/>
          <w:lang w:eastAsia="en-GB"/>
        </w:rPr>
        <w:t>2.2</w:t>
      </w:r>
      <w:r>
        <w:rPr>
          <w:rFonts w:ascii="Arial" w:eastAsia="Times New Roman" w:hAnsi="Arial" w:cs="Arial"/>
          <w:color w:val="000000"/>
          <w:lang w:eastAsia="en-GB"/>
        </w:rPr>
        <w:tab/>
      </w:r>
      <w:r w:rsidRPr="00897854">
        <w:rPr>
          <w:rFonts w:ascii="Arial" w:eastAsia="Times New Roman" w:hAnsi="Arial" w:cs="Arial"/>
          <w:color w:val="000000"/>
        </w:rPr>
        <w:t xml:space="preserve">From a healthcare commissioning perspective this report looks at 3 months of expenditure based on 25% of locality level ICB plans (as submitted in April 2022).  The Month 3 position </w:t>
      </w:r>
      <w:r>
        <w:rPr>
          <w:rFonts w:ascii="Arial" w:eastAsia="Times New Roman" w:hAnsi="Arial" w:cs="Arial"/>
          <w:color w:val="000000"/>
        </w:rPr>
        <w:t xml:space="preserve">on CCG budgets </w:t>
      </w:r>
      <w:r w:rsidRPr="00897854">
        <w:rPr>
          <w:rFonts w:ascii="Arial" w:eastAsia="Times New Roman" w:hAnsi="Arial" w:cs="Arial"/>
          <w:color w:val="000000"/>
        </w:rPr>
        <w:t xml:space="preserve">is </w:t>
      </w:r>
      <w:proofErr w:type="gramStart"/>
      <w:r w:rsidRPr="00897854">
        <w:rPr>
          <w:rFonts w:ascii="Arial" w:eastAsia="Times New Roman" w:hAnsi="Arial" w:cs="Arial"/>
          <w:color w:val="000000"/>
        </w:rPr>
        <w:t>an underspend</w:t>
      </w:r>
      <w:proofErr w:type="gramEnd"/>
      <w:r w:rsidRPr="00897854">
        <w:rPr>
          <w:rFonts w:ascii="Arial" w:eastAsia="Times New Roman" w:hAnsi="Arial" w:cs="Arial"/>
          <w:color w:val="000000"/>
        </w:rPr>
        <w:t xml:space="preserve"> of </w:t>
      </w:r>
      <w:r w:rsidRPr="00897854">
        <w:rPr>
          <w:rFonts w:ascii="Arial" w:eastAsia="Times New Roman" w:hAnsi="Arial" w:cs="Arial"/>
          <w:b/>
          <w:bCs/>
          <w:color w:val="000000"/>
        </w:rPr>
        <w:t xml:space="preserve">£1,375k </w:t>
      </w:r>
      <w:r w:rsidRPr="00897854">
        <w:rPr>
          <w:rFonts w:ascii="Arial" w:eastAsia="Times New Roman" w:hAnsi="Arial" w:cs="Arial"/>
          <w:color w:val="000000"/>
        </w:rPr>
        <w:t>due to allocations not being profiled in line with projected spend.  An allocation adjustment is included in the position, bringing the CCG overall variance to nil.</w:t>
      </w:r>
    </w:p>
    <w:p w14:paraId="2B1D83B6" w14:textId="77777777" w:rsidR="00897854" w:rsidRPr="00897854" w:rsidRDefault="00897854" w:rsidP="001543A9">
      <w:pPr>
        <w:widowControl w:val="0"/>
        <w:spacing w:after="0" w:line="240" w:lineRule="auto"/>
        <w:ind w:left="709" w:hanging="709"/>
        <w:jc w:val="both"/>
        <w:rPr>
          <w:rFonts w:ascii="Arial" w:hAnsi="Arial" w:cs="Arial"/>
          <w:color w:val="000000"/>
        </w:rPr>
      </w:pPr>
    </w:p>
    <w:p w14:paraId="2B1D83B7" w14:textId="77777777" w:rsidR="00897854" w:rsidRDefault="001543A9">
      <w:pPr>
        <w:widowControl w:val="0"/>
        <w:spacing w:after="0" w:line="240" w:lineRule="auto"/>
        <w:ind w:left="709" w:hanging="709"/>
        <w:jc w:val="both"/>
        <w:rPr>
          <w:rFonts w:ascii="Arial" w:eastAsia="Times New Roman" w:hAnsi="Arial" w:cs="Arial"/>
          <w:color w:val="000000"/>
          <w:lang w:eastAsia="en-GB"/>
        </w:rPr>
      </w:pPr>
      <w:r>
        <w:rPr>
          <w:rFonts w:ascii="Arial" w:eastAsia="Times New Roman" w:hAnsi="Arial" w:cs="Arial"/>
          <w:color w:val="000000"/>
          <w:lang w:eastAsia="en-GB"/>
        </w:rPr>
        <w:t>2.3</w:t>
      </w:r>
      <w:r>
        <w:rPr>
          <w:rFonts w:ascii="Arial" w:eastAsia="Times New Roman" w:hAnsi="Arial" w:cs="Arial"/>
          <w:color w:val="000000"/>
          <w:lang w:eastAsia="en-GB"/>
        </w:rPr>
        <w:tab/>
      </w:r>
      <w:r w:rsidRPr="00897854">
        <w:rPr>
          <w:rFonts w:ascii="Arial" w:eastAsia="Times New Roman" w:hAnsi="Arial" w:cs="Arial"/>
          <w:color w:val="000000"/>
          <w:lang w:eastAsia="en-GB"/>
        </w:rPr>
        <w:t>As highlighted in the month 2 report, the Council is facing significant and growing inflationary pressures across a number of areas, combined with demand pressures in Adults and Children’s services, resulting in a s</w:t>
      </w:r>
      <w:r>
        <w:rPr>
          <w:rFonts w:ascii="Arial" w:eastAsia="Times New Roman" w:hAnsi="Arial" w:cs="Arial"/>
          <w:color w:val="000000"/>
          <w:lang w:eastAsia="en-GB"/>
        </w:rPr>
        <w:t>ubstantial</w:t>
      </w:r>
      <w:r w:rsidRPr="00897854">
        <w:rPr>
          <w:rFonts w:ascii="Arial" w:eastAsia="Times New Roman" w:hAnsi="Arial" w:cs="Arial"/>
          <w:color w:val="000000"/>
          <w:lang w:eastAsia="en-GB"/>
        </w:rPr>
        <w:t xml:space="preserve"> forecast overspend by 31 March 2023 of </w:t>
      </w:r>
      <w:r w:rsidRPr="00897854">
        <w:rPr>
          <w:rFonts w:ascii="Arial" w:eastAsia="Times New Roman" w:hAnsi="Arial" w:cs="Arial"/>
          <w:b/>
          <w:bCs/>
          <w:color w:val="000000"/>
          <w:lang w:eastAsia="en-GB"/>
        </w:rPr>
        <w:t xml:space="preserve">(£12,850k).  </w:t>
      </w:r>
      <w:r w:rsidRPr="00897854">
        <w:rPr>
          <w:rFonts w:ascii="Arial" w:eastAsia="Times New Roman" w:hAnsi="Arial" w:cs="Arial"/>
          <w:color w:val="000000"/>
          <w:lang w:eastAsia="en-GB"/>
        </w:rPr>
        <w:t>The position has deteriorated since period 2 due to growing pressures in Adults social care, additional pressures on SEN Home to School Transport and an increase in forecast cost pressures and savings shortfalls in Place.</w:t>
      </w:r>
    </w:p>
    <w:p w14:paraId="2B1D83B8" w14:textId="77777777" w:rsidR="00897854" w:rsidRPr="00897854" w:rsidRDefault="00897854">
      <w:pPr>
        <w:widowControl w:val="0"/>
        <w:spacing w:after="0" w:line="240" w:lineRule="auto"/>
        <w:ind w:left="709" w:hanging="709"/>
        <w:jc w:val="both"/>
        <w:rPr>
          <w:rFonts w:ascii="Arial" w:eastAsia="Times New Roman" w:hAnsi="Arial" w:cs="Arial"/>
          <w:color w:val="000000"/>
          <w:lang w:eastAsia="en-GB"/>
        </w:rPr>
      </w:pPr>
    </w:p>
    <w:p w14:paraId="2B1D83B9" w14:textId="77777777" w:rsidR="00897854" w:rsidRPr="00897854" w:rsidRDefault="001543A9">
      <w:pPr>
        <w:widowControl w:val="0"/>
        <w:spacing w:after="0" w:line="240" w:lineRule="auto"/>
        <w:ind w:left="709" w:hanging="709"/>
        <w:jc w:val="both"/>
        <w:rPr>
          <w:rFonts w:ascii="Arial" w:eastAsia="Times New Roman" w:hAnsi="Arial" w:cs="Arial"/>
          <w:color w:val="000000"/>
          <w:lang w:eastAsia="en-GB"/>
        </w:rPr>
      </w:pPr>
      <w:r>
        <w:rPr>
          <w:rFonts w:ascii="Arial" w:eastAsia="Times New Roman" w:hAnsi="Arial" w:cs="Arial"/>
          <w:color w:val="000000"/>
          <w:lang w:eastAsia="en-GB"/>
        </w:rPr>
        <w:t>2.4</w:t>
      </w:r>
      <w:r>
        <w:rPr>
          <w:rFonts w:ascii="Arial" w:eastAsia="Times New Roman" w:hAnsi="Arial" w:cs="Arial"/>
          <w:color w:val="000000"/>
          <w:lang w:eastAsia="en-GB"/>
        </w:rPr>
        <w:tab/>
      </w:r>
      <w:r w:rsidRPr="00897854">
        <w:rPr>
          <w:rFonts w:ascii="Arial" w:eastAsia="Times New Roman" w:hAnsi="Arial" w:cs="Arial"/>
          <w:color w:val="000000"/>
          <w:lang w:eastAsia="en-GB"/>
        </w:rPr>
        <w:t>Ongoing demand and cost pressures on Council budgets will have implications for the 2023/24 budget and work is in progress to identify mitigations for 2022/23, whilst planning for 2023/24.  The current forecast still assumes a Local Government pay award within the budgeted 2%, which if significantly greater than this will place further pressures on the budget.  The forecast position is mitigated slightly by the release of contingency relating to transitional social care costs and additional investment income resulting from interest rate rises.</w:t>
      </w:r>
    </w:p>
    <w:p w14:paraId="2B1D83C1" w14:textId="24D513A4" w:rsidR="002D233E" w:rsidRDefault="001543A9">
      <w:pPr>
        <w:widowControl w:val="0"/>
        <w:spacing w:after="0" w:line="240" w:lineRule="auto"/>
        <w:ind w:left="709" w:hanging="709"/>
        <w:jc w:val="both"/>
        <w:rPr>
          <w:rFonts w:ascii="Arial" w:eastAsia="Times New Roman" w:hAnsi="Arial" w:cs="Arial"/>
          <w:color w:val="000000"/>
          <w:lang w:eastAsia="en-GB"/>
        </w:rPr>
      </w:pPr>
      <w:r w:rsidRPr="00897854">
        <w:rPr>
          <w:rFonts w:ascii="Arial" w:eastAsia="Times New Roman" w:hAnsi="Arial" w:cs="Arial"/>
          <w:color w:val="000000"/>
          <w:lang w:eastAsia="en-GB"/>
        </w:rPr>
        <w:t xml:space="preserve"> </w:t>
      </w:r>
    </w:p>
    <w:p w14:paraId="2B1D83C2" w14:textId="1D5F4BA7" w:rsidR="002D233E" w:rsidRDefault="001543A9">
      <w:pPr>
        <w:widowControl w:val="0"/>
        <w:spacing w:after="0" w:line="240" w:lineRule="auto"/>
        <w:ind w:left="709" w:hanging="709"/>
        <w:jc w:val="both"/>
        <w:rPr>
          <w:rFonts w:ascii="Arial" w:eastAsia="Times New Roman" w:hAnsi="Arial" w:cs="Arial"/>
          <w:b/>
          <w:color w:val="000000"/>
          <w:lang w:eastAsia="en-GB"/>
        </w:rPr>
      </w:pPr>
      <w:r>
        <w:rPr>
          <w:rFonts w:ascii="Arial" w:eastAsia="Times New Roman" w:hAnsi="Arial" w:cs="Arial"/>
          <w:color w:val="000000"/>
          <w:lang w:eastAsia="en-GB"/>
        </w:rPr>
        <w:t>2.</w:t>
      </w:r>
      <w:r w:rsidR="00897854">
        <w:rPr>
          <w:rFonts w:ascii="Arial" w:eastAsia="Times New Roman" w:hAnsi="Arial" w:cs="Arial"/>
          <w:color w:val="000000"/>
          <w:lang w:eastAsia="en-GB"/>
        </w:rPr>
        <w:t>5</w:t>
      </w:r>
      <w:r>
        <w:rPr>
          <w:rFonts w:ascii="Arial" w:eastAsia="Times New Roman" w:hAnsi="Arial" w:cs="Arial"/>
          <w:color w:val="000000"/>
          <w:lang w:eastAsia="en-GB"/>
        </w:rPr>
        <w:tab/>
        <w:t xml:space="preserve">Further detail on the financial position can be found in </w:t>
      </w:r>
      <w:r>
        <w:rPr>
          <w:rFonts w:ascii="Arial" w:eastAsia="Times New Roman" w:hAnsi="Arial" w:cs="Arial"/>
          <w:b/>
          <w:color w:val="000000"/>
          <w:lang w:eastAsia="en-GB"/>
        </w:rPr>
        <w:t>Appendix 1</w:t>
      </w:r>
      <w:r w:rsidR="00897854">
        <w:rPr>
          <w:rFonts w:ascii="Arial" w:eastAsia="Times New Roman" w:hAnsi="Arial" w:cs="Arial"/>
          <w:b/>
          <w:color w:val="000000"/>
          <w:lang w:eastAsia="en-GB"/>
        </w:rPr>
        <w:t xml:space="preserve"> </w:t>
      </w:r>
      <w:r w:rsidR="00897854">
        <w:rPr>
          <w:rFonts w:ascii="Arial" w:eastAsia="Times New Roman" w:hAnsi="Arial" w:cs="Arial"/>
          <w:color w:val="000000"/>
          <w:lang w:eastAsia="en-GB"/>
        </w:rPr>
        <w:t xml:space="preserve">with further detail by Directorate set out in </w:t>
      </w:r>
      <w:r w:rsidR="00897854">
        <w:rPr>
          <w:rFonts w:ascii="Arial" w:eastAsia="Times New Roman" w:hAnsi="Arial" w:cs="Arial"/>
          <w:b/>
          <w:color w:val="000000"/>
          <w:lang w:eastAsia="en-GB"/>
        </w:rPr>
        <w:t>Appendix 2</w:t>
      </w:r>
      <w:r>
        <w:rPr>
          <w:rFonts w:ascii="Arial" w:eastAsia="Times New Roman" w:hAnsi="Arial" w:cs="Arial"/>
          <w:b/>
          <w:color w:val="000000"/>
          <w:lang w:eastAsia="en-GB"/>
        </w:rPr>
        <w:t>.</w:t>
      </w:r>
    </w:p>
    <w:p w14:paraId="2B1D83C3" w14:textId="77777777" w:rsidR="009B6189" w:rsidRDefault="009B6189">
      <w:pPr>
        <w:widowControl w:val="0"/>
        <w:spacing w:after="0" w:line="240" w:lineRule="auto"/>
        <w:ind w:left="709" w:hanging="709"/>
        <w:jc w:val="both"/>
        <w:rPr>
          <w:rFonts w:ascii="Arial" w:eastAsia="Times New Roman" w:hAnsi="Arial" w:cs="Arial"/>
          <w:b/>
          <w:color w:val="000000"/>
          <w:lang w:eastAsia="en-GB"/>
        </w:rPr>
      </w:pPr>
    </w:p>
    <w:p w14:paraId="2B1D83C4" w14:textId="77777777" w:rsidR="009B6189" w:rsidRDefault="009B6189" w:rsidP="002D233E">
      <w:pPr>
        <w:widowControl w:val="0"/>
        <w:spacing w:after="0" w:line="240" w:lineRule="auto"/>
        <w:ind w:left="709" w:hanging="709"/>
        <w:jc w:val="both"/>
        <w:rPr>
          <w:rFonts w:ascii="Arial" w:eastAsia="Times New Roman" w:hAnsi="Arial" w:cs="Arial"/>
          <w:b/>
          <w:color w:val="000000"/>
          <w:lang w:eastAsia="en-GB"/>
        </w:rPr>
      </w:pPr>
    </w:p>
    <w:p w14:paraId="2B1D83C5" w14:textId="77777777" w:rsidR="004B36C9" w:rsidRPr="007B6956" w:rsidRDefault="001543A9" w:rsidP="002C197C">
      <w:pPr>
        <w:widowControl w:val="0"/>
        <w:spacing w:after="0" w:line="240" w:lineRule="auto"/>
        <w:ind w:left="720" w:hanging="720"/>
        <w:jc w:val="both"/>
        <w:rPr>
          <w:rFonts w:ascii="Arial" w:hAnsi="Arial" w:cs="Arial"/>
          <w:b/>
          <w:color w:val="000000"/>
        </w:rPr>
      </w:pPr>
      <w:r>
        <w:rPr>
          <w:rFonts w:ascii="Arial" w:hAnsi="Arial" w:cs="Arial"/>
          <w:b/>
          <w:color w:val="000000"/>
        </w:rPr>
        <w:t>3</w:t>
      </w:r>
      <w:r w:rsidR="00622505">
        <w:rPr>
          <w:rFonts w:ascii="Arial" w:hAnsi="Arial" w:cs="Arial"/>
          <w:b/>
          <w:color w:val="000000"/>
        </w:rPr>
        <w:t>.</w:t>
      </w:r>
      <w:r w:rsidR="00622505">
        <w:rPr>
          <w:rFonts w:ascii="Arial" w:hAnsi="Arial" w:cs="Arial"/>
          <w:b/>
          <w:color w:val="000000"/>
        </w:rPr>
        <w:tab/>
      </w:r>
      <w:r w:rsidR="00622505" w:rsidRPr="007B6956">
        <w:rPr>
          <w:rFonts w:ascii="Arial" w:hAnsi="Arial" w:cs="Arial"/>
          <w:b/>
          <w:color w:val="000000"/>
        </w:rPr>
        <w:t>RECOMMENDATIONS</w:t>
      </w:r>
    </w:p>
    <w:p w14:paraId="2B1D83C6" w14:textId="77777777" w:rsidR="004B36C9" w:rsidRDefault="004B36C9" w:rsidP="002C197C">
      <w:pPr>
        <w:pStyle w:val="Heading2"/>
        <w:keepNext w:val="0"/>
        <w:widowControl w:val="0"/>
        <w:numPr>
          <w:ilvl w:val="0"/>
          <w:numId w:val="0"/>
        </w:numPr>
        <w:rPr>
          <w:rFonts w:ascii="Arial" w:eastAsia="Calibri" w:hAnsi="Arial"/>
          <w:b w:val="0"/>
          <w:color w:val="000000"/>
        </w:rPr>
      </w:pPr>
    </w:p>
    <w:p w14:paraId="2B1D83C7" w14:textId="77777777" w:rsidR="004B36C9" w:rsidRDefault="001543A9" w:rsidP="002C197C">
      <w:pPr>
        <w:pStyle w:val="Heading2"/>
        <w:keepNext w:val="0"/>
        <w:widowControl w:val="0"/>
        <w:numPr>
          <w:ilvl w:val="0"/>
          <w:numId w:val="0"/>
        </w:numPr>
        <w:rPr>
          <w:rFonts w:ascii="Arial" w:hAnsi="Arial"/>
          <w:b w:val="0"/>
          <w:lang w:eastAsia="en-GB"/>
        </w:rPr>
      </w:pPr>
      <w:r>
        <w:rPr>
          <w:rFonts w:ascii="Arial" w:hAnsi="Arial"/>
          <w:b w:val="0"/>
          <w:lang w:eastAsia="en-GB"/>
        </w:rPr>
        <w:t>3</w:t>
      </w:r>
      <w:r w:rsidR="00622505">
        <w:rPr>
          <w:rFonts w:ascii="Arial" w:hAnsi="Arial"/>
          <w:b w:val="0"/>
          <w:lang w:eastAsia="en-GB"/>
        </w:rPr>
        <w:t>.1</w:t>
      </w:r>
      <w:r w:rsidR="00622505">
        <w:rPr>
          <w:rFonts w:ascii="Arial" w:hAnsi="Arial"/>
          <w:b w:val="0"/>
          <w:lang w:eastAsia="en-GB"/>
        </w:rPr>
        <w:tab/>
      </w:r>
      <w:r w:rsidR="00622505" w:rsidRPr="00B1273E">
        <w:rPr>
          <w:rFonts w:ascii="Arial" w:hAnsi="Arial"/>
          <w:b w:val="0"/>
          <w:lang w:eastAsia="en-GB"/>
        </w:rPr>
        <w:t>As stated on the front cover of the report.</w:t>
      </w:r>
    </w:p>
    <w:p w14:paraId="2B1D83C8" w14:textId="77777777" w:rsidR="00DA7429" w:rsidRPr="0059112E" w:rsidRDefault="00DA7429" w:rsidP="002C197C">
      <w:pPr>
        <w:widowControl w:val="0"/>
        <w:spacing w:after="0" w:line="240" w:lineRule="auto"/>
        <w:rPr>
          <w:lang w:eastAsia="en-GB"/>
        </w:rPr>
      </w:pPr>
    </w:p>
    <w:sectPr w:rsidR="00DA7429" w:rsidRPr="0059112E" w:rsidSect="006E74D0">
      <w:pgSz w:w="11906" w:h="16838" w:code="9"/>
      <w:pgMar w:top="1134" w:right="1134" w:bottom="1134" w:left="1134"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1)">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MMIL S+ Arial Rounded MT">
    <w:altName w:val="Arial Rounded"/>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276"/>
    <w:multiLevelType w:val="multilevel"/>
    <w:tmpl w:val="0C62555E"/>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1" w15:restartNumberingAfterBreak="0">
    <w:nsid w:val="17D907E2"/>
    <w:multiLevelType w:val="hybridMultilevel"/>
    <w:tmpl w:val="1A5A35A2"/>
    <w:lvl w:ilvl="0" w:tplc="AEC09E86">
      <w:start w:val="1"/>
      <w:numFmt w:val="decimal"/>
      <w:lvlText w:val="%1)"/>
      <w:lvlJc w:val="left"/>
      <w:pPr>
        <w:ind w:left="778" w:hanging="360"/>
      </w:pPr>
    </w:lvl>
    <w:lvl w:ilvl="1" w:tplc="14D21082" w:tentative="1">
      <w:start w:val="1"/>
      <w:numFmt w:val="lowerLetter"/>
      <w:lvlText w:val="%2."/>
      <w:lvlJc w:val="left"/>
      <w:pPr>
        <w:ind w:left="1498" w:hanging="360"/>
      </w:pPr>
    </w:lvl>
    <w:lvl w:ilvl="2" w:tplc="9984CB30" w:tentative="1">
      <w:start w:val="1"/>
      <w:numFmt w:val="lowerRoman"/>
      <w:lvlText w:val="%3."/>
      <w:lvlJc w:val="right"/>
      <w:pPr>
        <w:ind w:left="2218" w:hanging="180"/>
      </w:pPr>
    </w:lvl>
    <w:lvl w:ilvl="3" w:tplc="802E09AA" w:tentative="1">
      <w:start w:val="1"/>
      <w:numFmt w:val="decimal"/>
      <w:lvlText w:val="%4."/>
      <w:lvlJc w:val="left"/>
      <w:pPr>
        <w:ind w:left="2938" w:hanging="360"/>
      </w:pPr>
    </w:lvl>
    <w:lvl w:ilvl="4" w:tplc="0BCAB9BA" w:tentative="1">
      <w:start w:val="1"/>
      <w:numFmt w:val="lowerLetter"/>
      <w:lvlText w:val="%5."/>
      <w:lvlJc w:val="left"/>
      <w:pPr>
        <w:ind w:left="3658" w:hanging="360"/>
      </w:pPr>
    </w:lvl>
    <w:lvl w:ilvl="5" w:tplc="B59A501C" w:tentative="1">
      <w:start w:val="1"/>
      <w:numFmt w:val="lowerRoman"/>
      <w:lvlText w:val="%6."/>
      <w:lvlJc w:val="right"/>
      <w:pPr>
        <w:ind w:left="4378" w:hanging="180"/>
      </w:pPr>
    </w:lvl>
    <w:lvl w:ilvl="6" w:tplc="CD862552" w:tentative="1">
      <w:start w:val="1"/>
      <w:numFmt w:val="decimal"/>
      <w:lvlText w:val="%7."/>
      <w:lvlJc w:val="left"/>
      <w:pPr>
        <w:ind w:left="5098" w:hanging="360"/>
      </w:pPr>
    </w:lvl>
    <w:lvl w:ilvl="7" w:tplc="32B21C92" w:tentative="1">
      <w:start w:val="1"/>
      <w:numFmt w:val="lowerLetter"/>
      <w:lvlText w:val="%8."/>
      <w:lvlJc w:val="left"/>
      <w:pPr>
        <w:ind w:left="5818" w:hanging="360"/>
      </w:pPr>
    </w:lvl>
    <w:lvl w:ilvl="8" w:tplc="6590CA0A" w:tentative="1">
      <w:start w:val="1"/>
      <w:numFmt w:val="lowerRoman"/>
      <w:lvlText w:val="%9."/>
      <w:lvlJc w:val="right"/>
      <w:pPr>
        <w:ind w:left="6538" w:hanging="180"/>
      </w:pPr>
    </w:lvl>
  </w:abstractNum>
  <w:abstractNum w:abstractNumId="2" w15:restartNumberingAfterBreak="0">
    <w:nsid w:val="2099328A"/>
    <w:multiLevelType w:val="hybridMultilevel"/>
    <w:tmpl w:val="06425CE4"/>
    <w:lvl w:ilvl="0" w:tplc="95348C94">
      <w:start w:val="1"/>
      <w:numFmt w:val="bullet"/>
      <w:lvlText w:val=""/>
      <w:lvlJc w:val="left"/>
      <w:pPr>
        <w:ind w:left="1800" w:hanging="360"/>
      </w:pPr>
      <w:rPr>
        <w:rFonts w:ascii="Symbol" w:hAnsi="Symbol" w:hint="default"/>
      </w:rPr>
    </w:lvl>
    <w:lvl w:ilvl="1" w:tplc="9ADC5E4C" w:tentative="1">
      <w:start w:val="1"/>
      <w:numFmt w:val="bullet"/>
      <w:lvlText w:val="o"/>
      <w:lvlJc w:val="left"/>
      <w:pPr>
        <w:ind w:left="2520" w:hanging="360"/>
      </w:pPr>
      <w:rPr>
        <w:rFonts w:ascii="Courier New" w:hAnsi="Courier New" w:cs="Courier New" w:hint="default"/>
      </w:rPr>
    </w:lvl>
    <w:lvl w:ilvl="2" w:tplc="196EE87E" w:tentative="1">
      <w:start w:val="1"/>
      <w:numFmt w:val="bullet"/>
      <w:lvlText w:val=""/>
      <w:lvlJc w:val="left"/>
      <w:pPr>
        <w:ind w:left="3240" w:hanging="360"/>
      </w:pPr>
      <w:rPr>
        <w:rFonts w:ascii="Wingdings" w:hAnsi="Wingdings" w:hint="default"/>
      </w:rPr>
    </w:lvl>
    <w:lvl w:ilvl="3" w:tplc="F20E9C2E" w:tentative="1">
      <w:start w:val="1"/>
      <w:numFmt w:val="bullet"/>
      <w:lvlText w:val=""/>
      <w:lvlJc w:val="left"/>
      <w:pPr>
        <w:ind w:left="3960" w:hanging="360"/>
      </w:pPr>
      <w:rPr>
        <w:rFonts w:ascii="Symbol" w:hAnsi="Symbol" w:hint="default"/>
      </w:rPr>
    </w:lvl>
    <w:lvl w:ilvl="4" w:tplc="333874E4" w:tentative="1">
      <w:start w:val="1"/>
      <w:numFmt w:val="bullet"/>
      <w:lvlText w:val="o"/>
      <w:lvlJc w:val="left"/>
      <w:pPr>
        <w:ind w:left="4680" w:hanging="360"/>
      </w:pPr>
      <w:rPr>
        <w:rFonts w:ascii="Courier New" w:hAnsi="Courier New" w:cs="Courier New" w:hint="default"/>
      </w:rPr>
    </w:lvl>
    <w:lvl w:ilvl="5" w:tplc="EA8C8708" w:tentative="1">
      <w:start w:val="1"/>
      <w:numFmt w:val="bullet"/>
      <w:lvlText w:val=""/>
      <w:lvlJc w:val="left"/>
      <w:pPr>
        <w:ind w:left="5400" w:hanging="360"/>
      </w:pPr>
      <w:rPr>
        <w:rFonts w:ascii="Wingdings" w:hAnsi="Wingdings" w:hint="default"/>
      </w:rPr>
    </w:lvl>
    <w:lvl w:ilvl="6" w:tplc="BCEC4C28" w:tentative="1">
      <w:start w:val="1"/>
      <w:numFmt w:val="bullet"/>
      <w:lvlText w:val=""/>
      <w:lvlJc w:val="left"/>
      <w:pPr>
        <w:ind w:left="6120" w:hanging="360"/>
      </w:pPr>
      <w:rPr>
        <w:rFonts w:ascii="Symbol" w:hAnsi="Symbol" w:hint="default"/>
      </w:rPr>
    </w:lvl>
    <w:lvl w:ilvl="7" w:tplc="F40E677A" w:tentative="1">
      <w:start w:val="1"/>
      <w:numFmt w:val="bullet"/>
      <w:lvlText w:val="o"/>
      <w:lvlJc w:val="left"/>
      <w:pPr>
        <w:ind w:left="6840" w:hanging="360"/>
      </w:pPr>
      <w:rPr>
        <w:rFonts w:ascii="Courier New" w:hAnsi="Courier New" w:cs="Courier New" w:hint="default"/>
      </w:rPr>
    </w:lvl>
    <w:lvl w:ilvl="8" w:tplc="3C96B082" w:tentative="1">
      <w:start w:val="1"/>
      <w:numFmt w:val="bullet"/>
      <w:lvlText w:val=""/>
      <w:lvlJc w:val="left"/>
      <w:pPr>
        <w:ind w:left="7560" w:hanging="360"/>
      </w:pPr>
      <w:rPr>
        <w:rFonts w:ascii="Wingdings" w:hAnsi="Wingdings" w:hint="default"/>
      </w:rPr>
    </w:lvl>
  </w:abstractNum>
  <w:abstractNum w:abstractNumId="3" w15:restartNumberingAfterBreak="0">
    <w:nsid w:val="28127D8A"/>
    <w:multiLevelType w:val="hybridMultilevel"/>
    <w:tmpl w:val="C0006CCE"/>
    <w:lvl w:ilvl="0" w:tplc="488EBD54">
      <w:start w:val="1"/>
      <w:numFmt w:val="lowerRoman"/>
      <w:lvlText w:val="%1."/>
      <w:lvlJc w:val="right"/>
      <w:pPr>
        <w:ind w:left="778" w:hanging="360"/>
      </w:pPr>
    </w:lvl>
    <w:lvl w:ilvl="1" w:tplc="D26C122A" w:tentative="1">
      <w:start w:val="1"/>
      <w:numFmt w:val="lowerLetter"/>
      <w:lvlText w:val="%2."/>
      <w:lvlJc w:val="left"/>
      <w:pPr>
        <w:ind w:left="1498" w:hanging="360"/>
      </w:pPr>
    </w:lvl>
    <w:lvl w:ilvl="2" w:tplc="5B3CAA7A" w:tentative="1">
      <w:start w:val="1"/>
      <w:numFmt w:val="lowerRoman"/>
      <w:lvlText w:val="%3."/>
      <w:lvlJc w:val="right"/>
      <w:pPr>
        <w:ind w:left="2218" w:hanging="180"/>
      </w:pPr>
    </w:lvl>
    <w:lvl w:ilvl="3" w:tplc="9CFC11CA" w:tentative="1">
      <w:start w:val="1"/>
      <w:numFmt w:val="decimal"/>
      <w:lvlText w:val="%4."/>
      <w:lvlJc w:val="left"/>
      <w:pPr>
        <w:ind w:left="2938" w:hanging="360"/>
      </w:pPr>
    </w:lvl>
    <w:lvl w:ilvl="4" w:tplc="E8BC35A8" w:tentative="1">
      <w:start w:val="1"/>
      <w:numFmt w:val="lowerLetter"/>
      <w:lvlText w:val="%5."/>
      <w:lvlJc w:val="left"/>
      <w:pPr>
        <w:ind w:left="3658" w:hanging="360"/>
      </w:pPr>
    </w:lvl>
    <w:lvl w:ilvl="5" w:tplc="E8C21CD2" w:tentative="1">
      <w:start w:val="1"/>
      <w:numFmt w:val="lowerRoman"/>
      <w:lvlText w:val="%6."/>
      <w:lvlJc w:val="right"/>
      <w:pPr>
        <w:ind w:left="4378" w:hanging="180"/>
      </w:pPr>
    </w:lvl>
    <w:lvl w:ilvl="6" w:tplc="18EC97C4" w:tentative="1">
      <w:start w:val="1"/>
      <w:numFmt w:val="decimal"/>
      <w:lvlText w:val="%7."/>
      <w:lvlJc w:val="left"/>
      <w:pPr>
        <w:ind w:left="5098" w:hanging="360"/>
      </w:pPr>
    </w:lvl>
    <w:lvl w:ilvl="7" w:tplc="BFF24FEA" w:tentative="1">
      <w:start w:val="1"/>
      <w:numFmt w:val="lowerLetter"/>
      <w:lvlText w:val="%8."/>
      <w:lvlJc w:val="left"/>
      <w:pPr>
        <w:ind w:left="5818" w:hanging="360"/>
      </w:pPr>
    </w:lvl>
    <w:lvl w:ilvl="8" w:tplc="456E15F0" w:tentative="1">
      <w:start w:val="1"/>
      <w:numFmt w:val="lowerRoman"/>
      <w:lvlText w:val="%9."/>
      <w:lvlJc w:val="right"/>
      <w:pPr>
        <w:ind w:left="6538" w:hanging="180"/>
      </w:pPr>
    </w:lvl>
  </w:abstractNum>
  <w:abstractNum w:abstractNumId="4" w15:restartNumberingAfterBreak="0">
    <w:nsid w:val="42F8537A"/>
    <w:multiLevelType w:val="multilevel"/>
    <w:tmpl w:val="6BB67FB8"/>
    <w:lvl w:ilvl="0">
      <w:start w:val="1"/>
      <w:numFmt w:val="decimal"/>
      <w:lvlText w:val="%1"/>
      <w:lvlJc w:val="left"/>
      <w:pPr>
        <w:ind w:left="705" w:hanging="705"/>
      </w:pPr>
      <w:rPr>
        <w:rFonts w:hint="default"/>
        <w:b w:val="0"/>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5077292E"/>
    <w:multiLevelType w:val="hybridMultilevel"/>
    <w:tmpl w:val="103C4532"/>
    <w:lvl w:ilvl="0" w:tplc="049062EE">
      <w:start w:val="1"/>
      <w:numFmt w:val="bullet"/>
      <w:lvlText w:val=""/>
      <w:lvlJc w:val="left"/>
      <w:pPr>
        <w:ind w:left="1440" w:hanging="360"/>
      </w:pPr>
      <w:rPr>
        <w:rFonts w:ascii="Symbol" w:hAnsi="Symbol" w:hint="default"/>
      </w:rPr>
    </w:lvl>
    <w:lvl w:ilvl="1" w:tplc="A36AC3F6" w:tentative="1">
      <w:start w:val="1"/>
      <w:numFmt w:val="bullet"/>
      <w:lvlText w:val="o"/>
      <w:lvlJc w:val="left"/>
      <w:pPr>
        <w:ind w:left="2160" w:hanging="360"/>
      </w:pPr>
      <w:rPr>
        <w:rFonts w:ascii="Courier New" w:hAnsi="Courier New" w:cs="Courier New" w:hint="default"/>
      </w:rPr>
    </w:lvl>
    <w:lvl w:ilvl="2" w:tplc="3F4CC612" w:tentative="1">
      <w:start w:val="1"/>
      <w:numFmt w:val="bullet"/>
      <w:lvlText w:val=""/>
      <w:lvlJc w:val="left"/>
      <w:pPr>
        <w:ind w:left="2880" w:hanging="360"/>
      </w:pPr>
      <w:rPr>
        <w:rFonts w:ascii="Wingdings" w:hAnsi="Wingdings" w:hint="default"/>
      </w:rPr>
    </w:lvl>
    <w:lvl w:ilvl="3" w:tplc="3508DB5E" w:tentative="1">
      <w:start w:val="1"/>
      <w:numFmt w:val="bullet"/>
      <w:lvlText w:val=""/>
      <w:lvlJc w:val="left"/>
      <w:pPr>
        <w:ind w:left="3600" w:hanging="360"/>
      </w:pPr>
      <w:rPr>
        <w:rFonts w:ascii="Symbol" w:hAnsi="Symbol" w:hint="default"/>
      </w:rPr>
    </w:lvl>
    <w:lvl w:ilvl="4" w:tplc="207448F0" w:tentative="1">
      <w:start w:val="1"/>
      <w:numFmt w:val="bullet"/>
      <w:lvlText w:val="o"/>
      <w:lvlJc w:val="left"/>
      <w:pPr>
        <w:ind w:left="4320" w:hanging="360"/>
      </w:pPr>
      <w:rPr>
        <w:rFonts w:ascii="Courier New" w:hAnsi="Courier New" w:cs="Courier New" w:hint="default"/>
      </w:rPr>
    </w:lvl>
    <w:lvl w:ilvl="5" w:tplc="A1B88E2C" w:tentative="1">
      <w:start w:val="1"/>
      <w:numFmt w:val="bullet"/>
      <w:lvlText w:val=""/>
      <w:lvlJc w:val="left"/>
      <w:pPr>
        <w:ind w:left="5040" w:hanging="360"/>
      </w:pPr>
      <w:rPr>
        <w:rFonts w:ascii="Wingdings" w:hAnsi="Wingdings" w:hint="default"/>
      </w:rPr>
    </w:lvl>
    <w:lvl w:ilvl="6" w:tplc="99DAB5B6" w:tentative="1">
      <w:start w:val="1"/>
      <w:numFmt w:val="bullet"/>
      <w:lvlText w:val=""/>
      <w:lvlJc w:val="left"/>
      <w:pPr>
        <w:ind w:left="5760" w:hanging="360"/>
      </w:pPr>
      <w:rPr>
        <w:rFonts w:ascii="Symbol" w:hAnsi="Symbol" w:hint="default"/>
      </w:rPr>
    </w:lvl>
    <w:lvl w:ilvl="7" w:tplc="77A222F4" w:tentative="1">
      <w:start w:val="1"/>
      <w:numFmt w:val="bullet"/>
      <w:lvlText w:val="o"/>
      <w:lvlJc w:val="left"/>
      <w:pPr>
        <w:ind w:left="6480" w:hanging="360"/>
      </w:pPr>
      <w:rPr>
        <w:rFonts w:ascii="Courier New" w:hAnsi="Courier New" w:cs="Courier New" w:hint="default"/>
      </w:rPr>
    </w:lvl>
    <w:lvl w:ilvl="8" w:tplc="4BFEDE36" w:tentative="1">
      <w:start w:val="1"/>
      <w:numFmt w:val="bullet"/>
      <w:lvlText w:val=""/>
      <w:lvlJc w:val="left"/>
      <w:pPr>
        <w:ind w:left="7200" w:hanging="360"/>
      </w:pPr>
      <w:rPr>
        <w:rFonts w:ascii="Wingdings" w:hAnsi="Wingdings" w:hint="default"/>
      </w:rPr>
    </w:lvl>
  </w:abstractNum>
  <w:abstractNum w:abstractNumId="6" w15:restartNumberingAfterBreak="0">
    <w:nsid w:val="73A268DA"/>
    <w:multiLevelType w:val="multilevel"/>
    <w:tmpl w:val="08202668"/>
    <w:lvl w:ilvl="0">
      <w:start w:val="1"/>
      <w:numFmt w:val="decimal"/>
      <w:pStyle w:val="Heading1"/>
      <w:lvlText w:val="%1"/>
      <w:lvlJc w:val="left"/>
      <w:pPr>
        <w:ind w:left="432" w:hanging="432"/>
      </w:pPr>
      <w:rPr>
        <w:rFonts w:hint="default"/>
      </w:rPr>
    </w:lvl>
    <w:lvl w:ilvl="1">
      <w:start w:val="3"/>
      <w:numFmt w:val="decimal"/>
      <w:pStyle w:val="Heading2"/>
      <w:lvlText w:val="%1.%2"/>
      <w:lvlJc w:val="left"/>
      <w:pPr>
        <w:ind w:left="860" w:hanging="576"/>
      </w:pPr>
      <w:rPr>
        <w:rFonts w:ascii="Arial" w:hAnsi="Arial" w:hint="default"/>
        <w:b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42"/>
    <w:rsid w:val="000106B2"/>
    <w:rsid w:val="000514BE"/>
    <w:rsid w:val="000A78C6"/>
    <w:rsid w:val="000D477C"/>
    <w:rsid w:val="001543A9"/>
    <w:rsid w:val="0017582C"/>
    <w:rsid w:val="001A64A2"/>
    <w:rsid w:val="001C08DE"/>
    <w:rsid w:val="00217547"/>
    <w:rsid w:val="002B0969"/>
    <w:rsid w:val="002B335E"/>
    <w:rsid w:val="002C197C"/>
    <w:rsid w:val="002D233E"/>
    <w:rsid w:val="002E3494"/>
    <w:rsid w:val="002E72E6"/>
    <w:rsid w:val="002F1BB6"/>
    <w:rsid w:val="002F4C86"/>
    <w:rsid w:val="0032284E"/>
    <w:rsid w:val="003267A3"/>
    <w:rsid w:val="00364218"/>
    <w:rsid w:val="00386779"/>
    <w:rsid w:val="003E5ACD"/>
    <w:rsid w:val="003F487C"/>
    <w:rsid w:val="00421B42"/>
    <w:rsid w:val="0046255F"/>
    <w:rsid w:val="004A5AF6"/>
    <w:rsid w:val="004B36C9"/>
    <w:rsid w:val="004C43AA"/>
    <w:rsid w:val="00500129"/>
    <w:rsid w:val="0050759A"/>
    <w:rsid w:val="0059112E"/>
    <w:rsid w:val="005C5AF5"/>
    <w:rsid w:val="00606F4D"/>
    <w:rsid w:val="00622505"/>
    <w:rsid w:val="00625897"/>
    <w:rsid w:val="0065173F"/>
    <w:rsid w:val="006D2E56"/>
    <w:rsid w:val="006E74D0"/>
    <w:rsid w:val="00740A55"/>
    <w:rsid w:val="007B6956"/>
    <w:rsid w:val="007C3789"/>
    <w:rsid w:val="007E6EB7"/>
    <w:rsid w:val="00805950"/>
    <w:rsid w:val="00832F8B"/>
    <w:rsid w:val="00844286"/>
    <w:rsid w:val="008877A8"/>
    <w:rsid w:val="00897854"/>
    <w:rsid w:val="008D16C1"/>
    <w:rsid w:val="009276A1"/>
    <w:rsid w:val="00967D68"/>
    <w:rsid w:val="00970849"/>
    <w:rsid w:val="009A695F"/>
    <w:rsid w:val="009B6189"/>
    <w:rsid w:val="009E6731"/>
    <w:rsid w:val="00A65767"/>
    <w:rsid w:val="00A70B8D"/>
    <w:rsid w:val="00A82173"/>
    <w:rsid w:val="00AC2E32"/>
    <w:rsid w:val="00AC7C55"/>
    <w:rsid w:val="00B0536C"/>
    <w:rsid w:val="00B1273E"/>
    <w:rsid w:val="00B36178"/>
    <w:rsid w:val="00B444F0"/>
    <w:rsid w:val="00B70487"/>
    <w:rsid w:val="00B84183"/>
    <w:rsid w:val="00C4419D"/>
    <w:rsid w:val="00C8261C"/>
    <w:rsid w:val="00D80429"/>
    <w:rsid w:val="00DA7429"/>
    <w:rsid w:val="00DC113F"/>
    <w:rsid w:val="00E57508"/>
    <w:rsid w:val="00E834A9"/>
    <w:rsid w:val="00EF699F"/>
    <w:rsid w:val="00F00BBB"/>
    <w:rsid w:val="00FB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8360"/>
  <w15:docId w15:val="{B7FE9F9E-E116-406B-BF2E-FF2BDDF7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BD"/>
    <w:pPr>
      <w:spacing w:after="200" w:line="276" w:lineRule="auto"/>
    </w:pPr>
    <w:rPr>
      <w:sz w:val="22"/>
      <w:szCs w:val="22"/>
      <w:lang w:eastAsia="en-US"/>
    </w:rPr>
  </w:style>
  <w:style w:type="paragraph" w:styleId="Heading1">
    <w:name w:val="heading 1"/>
    <w:basedOn w:val="Normal"/>
    <w:next w:val="Normal"/>
    <w:link w:val="Heading1Char"/>
    <w:qFormat/>
    <w:rsid w:val="00543C82"/>
    <w:pPr>
      <w:keepNext/>
      <w:numPr>
        <w:numId w:val="1"/>
      </w:numPr>
      <w:spacing w:after="0" w:line="240" w:lineRule="auto"/>
      <w:jc w:val="both"/>
      <w:outlineLvl w:val="0"/>
    </w:pPr>
    <w:rPr>
      <w:rFonts w:ascii="Arial" w:eastAsia="Times New Roman" w:hAnsi="Arial"/>
      <w:snapToGrid w:val="0"/>
      <w:color w:val="000000"/>
      <w:sz w:val="24"/>
      <w:szCs w:val="20"/>
    </w:rPr>
  </w:style>
  <w:style w:type="paragraph" w:styleId="Heading2">
    <w:name w:val="heading 2"/>
    <w:basedOn w:val="Normal"/>
    <w:next w:val="Normal"/>
    <w:link w:val="Heading2Char"/>
    <w:qFormat/>
    <w:rsid w:val="00543C82"/>
    <w:pPr>
      <w:keepNext/>
      <w:numPr>
        <w:ilvl w:val="1"/>
        <w:numId w:val="1"/>
      </w:numPr>
      <w:spacing w:after="0" w:line="240" w:lineRule="auto"/>
      <w:jc w:val="both"/>
      <w:outlineLvl w:val="1"/>
    </w:pPr>
    <w:rPr>
      <w:rFonts w:ascii="Century Gothic" w:eastAsia="Times New Roman" w:hAnsi="Century Gothic" w:cs="Arial"/>
      <w:b/>
    </w:rPr>
  </w:style>
  <w:style w:type="paragraph" w:styleId="Heading3">
    <w:name w:val="heading 3"/>
    <w:basedOn w:val="Normal"/>
    <w:next w:val="Normal"/>
    <w:link w:val="Heading3Char"/>
    <w:qFormat/>
    <w:rsid w:val="00543C82"/>
    <w:pPr>
      <w:keepNext/>
      <w:numPr>
        <w:ilvl w:val="2"/>
        <w:numId w:val="1"/>
      </w:numPr>
      <w:spacing w:after="0" w:line="240" w:lineRule="auto"/>
      <w:outlineLvl w:val="2"/>
    </w:pPr>
    <w:rPr>
      <w:rFonts w:ascii="Arial" w:eastAsia="Times New Roman" w:hAnsi="Arial" w:cs="Arial"/>
      <w:b/>
      <w:snapToGrid w:val="0"/>
      <w:color w:val="000000"/>
      <w:sz w:val="24"/>
    </w:rPr>
  </w:style>
  <w:style w:type="paragraph" w:styleId="Heading4">
    <w:name w:val="heading 4"/>
    <w:basedOn w:val="Normal"/>
    <w:next w:val="Normal"/>
    <w:link w:val="Heading4Char"/>
    <w:qFormat/>
    <w:rsid w:val="00543C82"/>
    <w:pPr>
      <w:keepNext/>
      <w:numPr>
        <w:ilvl w:val="3"/>
        <w:numId w:val="1"/>
      </w:numPr>
      <w:spacing w:after="0" w:line="240" w:lineRule="auto"/>
      <w:outlineLvl w:val="3"/>
    </w:pPr>
    <w:rPr>
      <w:rFonts w:ascii="Arial" w:eastAsia="Times New Roman" w:hAnsi="Arial" w:cs="Arial"/>
      <w:b/>
    </w:rPr>
  </w:style>
  <w:style w:type="paragraph" w:styleId="Heading5">
    <w:name w:val="heading 5"/>
    <w:basedOn w:val="Normal"/>
    <w:next w:val="Normal"/>
    <w:link w:val="Heading5Char"/>
    <w:qFormat/>
    <w:rsid w:val="00543C82"/>
    <w:pPr>
      <w:keepNext/>
      <w:numPr>
        <w:ilvl w:val="4"/>
        <w:numId w:val="1"/>
      </w:numPr>
      <w:spacing w:after="0" w:line="280" w:lineRule="atLeast"/>
      <w:jc w:val="both"/>
      <w:outlineLvl w:val="4"/>
    </w:pPr>
    <w:rPr>
      <w:rFonts w:ascii="Arial (W1)" w:eastAsia="Times New Roman" w:hAnsi="Arial (W1)" w:cs="Arial"/>
      <w:i/>
    </w:rPr>
  </w:style>
  <w:style w:type="paragraph" w:styleId="Heading6">
    <w:name w:val="heading 6"/>
    <w:basedOn w:val="Normal"/>
    <w:next w:val="Normal"/>
    <w:link w:val="Heading6Char"/>
    <w:qFormat/>
    <w:rsid w:val="00543C82"/>
    <w:pPr>
      <w:keepNext/>
      <w:numPr>
        <w:ilvl w:val="5"/>
        <w:numId w:val="1"/>
      </w:numPr>
      <w:spacing w:after="0" w:line="240" w:lineRule="auto"/>
      <w:outlineLvl w:val="5"/>
    </w:pPr>
    <w:rPr>
      <w:rFonts w:ascii="Arial (W1)" w:eastAsia="Times New Roman" w:hAnsi="Arial (W1)" w:cs="Arial"/>
      <w:i/>
      <w:snapToGrid w:val="0"/>
      <w:color w:val="000000"/>
    </w:rPr>
  </w:style>
  <w:style w:type="paragraph" w:styleId="Heading7">
    <w:name w:val="heading 7"/>
    <w:basedOn w:val="Normal"/>
    <w:next w:val="Normal"/>
    <w:link w:val="Heading7Char"/>
    <w:uiPriority w:val="9"/>
    <w:qFormat/>
    <w:rsid w:val="00543C82"/>
    <w:pPr>
      <w:keepNext/>
      <w:numPr>
        <w:ilvl w:val="6"/>
        <w:numId w:val="1"/>
      </w:numPr>
      <w:spacing w:after="0" w:line="280" w:lineRule="atLeast"/>
      <w:outlineLvl w:val="6"/>
    </w:pPr>
    <w:rPr>
      <w:rFonts w:ascii="Arial" w:eastAsia="Times New Roman" w:hAnsi="Arial" w:cs="Arial"/>
      <w:i/>
    </w:rPr>
  </w:style>
  <w:style w:type="paragraph" w:styleId="Heading8">
    <w:name w:val="heading 8"/>
    <w:basedOn w:val="Normal"/>
    <w:next w:val="Normal"/>
    <w:link w:val="Heading8Char"/>
    <w:uiPriority w:val="9"/>
    <w:qFormat/>
    <w:rsid w:val="00543C82"/>
    <w:pPr>
      <w:keepNext/>
      <w:numPr>
        <w:ilvl w:val="7"/>
        <w:numId w:val="1"/>
      </w:numPr>
      <w:spacing w:after="0" w:line="280" w:lineRule="atLeast"/>
      <w:outlineLvl w:val="7"/>
    </w:pPr>
    <w:rPr>
      <w:rFonts w:ascii="Arial" w:eastAsia="Times New Roman" w:hAnsi="Arial" w:cs="Arial"/>
      <w:b/>
      <w:snapToGrid w:val="0"/>
      <w:color w:val="000000"/>
    </w:rPr>
  </w:style>
  <w:style w:type="paragraph" w:styleId="Heading9">
    <w:name w:val="heading 9"/>
    <w:basedOn w:val="Normal"/>
    <w:next w:val="Normal"/>
    <w:link w:val="Heading9Char"/>
    <w:qFormat/>
    <w:rsid w:val="00543C82"/>
    <w:pPr>
      <w:keepNext/>
      <w:numPr>
        <w:ilvl w:val="8"/>
        <w:numId w:val="1"/>
      </w:numPr>
      <w:spacing w:after="0" w:line="280" w:lineRule="atLeast"/>
      <w:outlineLvl w:val="8"/>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55F"/>
    <w:pPr>
      <w:ind w:left="720"/>
      <w:contextualSpacing/>
    </w:pPr>
  </w:style>
  <w:style w:type="table" w:styleId="TableGrid">
    <w:name w:val="Table Grid"/>
    <w:basedOn w:val="TableNormal"/>
    <w:uiPriority w:val="59"/>
    <w:rsid w:val="00C8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D9E"/>
  </w:style>
  <w:style w:type="paragraph" w:styleId="Footer">
    <w:name w:val="footer"/>
    <w:basedOn w:val="Normal"/>
    <w:link w:val="FooterChar"/>
    <w:uiPriority w:val="99"/>
    <w:unhideWhenUsed/>
    <w:rsid w:val="00303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D9E"/>
  </w:style>
  <w:style w:type="character" w:styleId="Hyperlink">
    <w:name w:val="Hyperlink"/>
    <w:uiPriority w:val="99"/>
    <w:unhideWhenUsed/>
    <w:rsid w:val="00173769"/>
    <w:rPr>
      <w:color w:val="0000FF"/>
      <w:u w:val="single"/>
    </w:rPr>
  </w:style>
  <w:style w:type="paragraph" w:styleId="BalloonText">
    <w:name w:val="Balloon Text"/>
    <w:basedOn w:val="Normal"/>
    <w:link w:val="BalloonTextChar"/>
    <w:uiPriority w:val="99"/>
    <w:semiHidden/>
    <w:unhideWhenUsed/>
    <w:rsid w:val="00F815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1532"/>
    <w:rPr>
      <w:rFonts w:ascii="Tahoma" w:hAnsi="Tahoma" w:cs="Tahoma"/>
      <w:sz w:val="16"/>
      <w:szCs w:val="16"/>
    </w:rPr>
  </w:style>
  <w:style w:type="paragraph" w:styleId="BodyText">
    <w:name w:val="Body Text"/>
    <w:basedOn w:val="Normal"/>
    <w:link w:val="BodyTextChar"/>
    <w:rsid w:val="00D974CC"/>
    <w:pPr>
      <w:tabs>
        <w:tab w:val="left" w:pos="3969"/>
        <w:tab w:val="right" w:pos="9356"/>
      </w:tabs>
      <w:spacing w:after="0" w:line="240" w:lineRule="auto"/>
    </w:pPr>
    <w:rPr>
      <w:rFonts w:ascii="Arial" w:eastAsia="Times New Roman" w:hAnsi="Arial" w:cs="Arial"/>
      <w:szCs w:val="24"/>
    </w:rPr>
  </w:style>
  <w:style w:type="character" w:customStyle="1" w:styleId="BodyTextChar">
    <w:name w:val="Body Text Char"/>
    <w:link w:val="BodyText"/>
    <w:rsid w:val="00D974CC"/>
    <w:rPr>
      <w:rFonts w:ascii="Arial" w:eastAsia="Times New Roman" w:hAnsi="Arial" w:cs="Arial"/>
      <w:szCs w:val="24"/>
    </w:rPr>
  </w:style>
  <w:style w:type="character" w:customStyle="1" w:styleId="Heading1Char">
    <w:name w:val="Heading 1 Char"/>
    <w:link w:val="Heading1"/>
    <w:rsid w:val="00543C82"/>
    <w:rPr>
      <w:rFonts w:ascii="Arial" w:eastAsia="Times New Roman" w:hAnsi="Arial"/>
      <w:snapToGrid w:val="0"/>
      <w:color w:val="000000"/>
      <w:sz w:val="24"/>
    </w:rPr>
  </w:style>
  <w:style w:type="character" w:customStyle="1" w:styleId="Heading2Char">
    <w:name w:val="Heading 2 Char"/>
    <w:link w:val="Heading2"/>
    <w:rsid w:val="00543C82"/>
    <w:rPr>
      <w:rFonts w:ascii="Century Gothic" w:eastAsia="Times New Roman" w:hAnsi="Century Gothic" w:cs="Arial"/>
      <w:b/>
      <w:sz w:val="22"/>
      <w:szCs w:val="22"/>
      <w:lang w:eastAsia="en-US"/>
    </w:rPr>
  </w:style>
  <w:style w:type="character" w:customStyle="1" w:styleId="Heading3Char">
    <w:name w:val="Heading 3 Char"/>
    <w:link w:val="Heading3"/>
    <w:rsid w:val="00543C82"/>
    <w:rPr>
      <w:rFonts w:ascii="Arial" w:eastAsia="Times New Roman" w:hAnsi="Arial" w:cs="Arial"/>
      <w:b/>
      <w:snapToGrid w:val="0"/>
      <w:color w:val="000000"/>
      <w:sz w:val="24"/>
      <w:szCs w:val="22"/>
      <w:lang w:eastAsia="en-US"/>
    </w:rPr>
  </w:style>
  <w:style w:type="character" w:customStyle="1" w:styleId="Heading4Char">
    <w:name w:val="Heading 4 Char"/>
    <w:link w:val="Heading4"/>
    <w:rsid w:val="00543C82"/>
    <w:rPr>
      <w:rFonts w:ascii="Arial" w:eastAsia="Times New Roman" w:hAnsi="Arial" w:cs="Arial"/>
      <w:b/>
      <w:sz w:val="22"/>
      <w:szCs w:val="22"/>
      <w:lang w:eastAsia="en-US"/>
    </w:rPr>
  </w:style>
  <w:style w:type="character" w:customStyle="1" w:styleId="Heading5Char">
    <w:name w:val="Heading 5 Char"/>
    <w:link w:val="Heading5"/>
    <w:rsid w:val="00543C82"/>
    <w:rPr>
      <w:rFonts w:ascii="Arial (W1)" w:eastAsia="Times New Roman" w:hAnsi="Arial (W1)" w:cs="Arial"/>
      <w:i/>
      <w:sz w:val="22"/>
      <w:szCs w:val="22"/>
      <w:lang w:eastAsia="en-US"/>
    </w:rPr>
  </w:style>
  <w:style w:type="character" w:customStyle="1" w:styleId="Heading6Char">
    <w:name w:val="Heading 6 Char"/>
    <w:link w:val="Heading6"/>
    <w:rsid w:val="00543C82"/>
    <w:rPr>
      <w:rFonts w:ascii="Arial (W1)" w:eastAsia="Times New Roman" w:hAnsi="Arial (W1)" w:cs="Arial"/>
      <w:i/>
      <w:snapToGrid w:val="0"/>
      <w:color w:val="000000"/>
      <w:sz w:val="22"/>
      <w:szCs w:val="22"/>
      <w:lang w:eastAsia="en-US"/>
    </w:rPr>
  </w:style>
  <w:style w:type="character" w:customStyle="1" w:styleId="Heading7Char">
    <w:name w:val="Heading 7 Char"/>
    <w:link w:val="Heading7"/>
    <w:uiPriority w:val="9"/>
    <w:rsid w:val="00543C82"/>
    <w:rPr>
      <w:rFonts w:ascii="Arial" w:eastAsia="Times New Roman" w:hAnsi="Arial" w:cs="Arial"/>
      <w:i/>
      <w:sz w:val="22"/>
      <w:szCs w:val="22"/>
      <w:lang w:eastAsia="en-US"/>
    </w:rPr>
  </w:style>
  <w:style w:type="character" w:customStyle="1" w:styleId="Heading8Char">
    <w:name w:val="Heading 8 Char"/>
    <w:link w:val="Heading8"/>
    <w:uiPriority w:val="9"/>
    <w:rsid w:val="00543C82"/>
    <w:rPr>
      <w:rFonts w:ascii="Arial" w:eastAsia="Times New Roman" w:hAnsi="Arial" w:cs="Arial"/>
      <w:b/>
      <w:snapToGrid w:val="0"/>
      <w:color w:val="000000"/>
      <w:sz w:val="22"/>
      <w:szCs w:val="22"/>
      <w:lang w:eastAsia="en-US"/>
    </w:rPr>
  </w:style>
  <w:style w:type="character" w:customStyle="1" w:styleId="Heading9Char">
    <w:name w:val="Heading 9 Char"/>
    <w:link w:val="Heading9"/>
    <w:rsid w:val="00543C82"/>
    <w:rPr>
      <w:rFonts w:ascii="Arial" w:eastAsia="Times New Roman" w:hAnsi="Arial" w:cs="Arial"/>
      <w:b/>
      <w:sz w:val="22"/>
      <w:szCs w:val="22"/>
      <w:lang w:eastAsia="en-US"/>
    </w:rPr>
  </w:style>
  <w:style w:type="paragraph" w:customStyle="1" w:styleId="SchoolForum">
    <w:name w:val="School Forum"/>
    <w:basedOn w:val="Normal"/>
    <w:rsid w:val="00406BFE"/>
    <w:pPr>
      <w:spacing w:after="0" w:line="240" w:lineRule="auto"/>
      <w:jc w:val="both"/>
    </w:pPr>
    <w:rPr>
      <w:rFonts w:ascii="Arial" w:eastAsia="Times New Roman" w:hAnsi="Arial" w:cs="Arial"/>
      <w:lang w:val="en-US" w:eastAsia="en-GB"/>
    </w:rPr>
  </w:style>
  <w:style w:type="paragraph" w:customStyle="1" w:styleId="Default">
    <w:name w:val="Default"/>
    <w:locked/>
    <w:rsid w:val="00C627A7"/>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link w:val="ListParagraph"/>
    <w:uiPriority w:val="34"/>
    <w:locked/>
    <w:rsid w:val="00C627A7"/>
    <w:rPr>
      <w:sz w:val="22"/>
      <w:szCs w:val="22"/>
      <w:lang w:eastAsia="en-US"/>
    </w:rPr>
  </w:style>
  <w:style w:type="paragraph" w:styleId="NormalWeb">
    <w:name w:val="Normal (Web)"/>
    <w:basedOn w:val="Normal"/>
    <w:uiPriority w:val="99"/>
    <w:semiHidden/>
    <w:unhideWhenUsed/>
    <w:rsid w:val="00A24F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4">
    <w:name w:val="Pa4"/>
    <w:basedOn w:val="Normal"/>
    <w:next w:val="Normal"/>
    <w:uiPriority w:val="99"/>
    <w:rsid w:val="006E74D0"/>
    <w:pPr>
      <w:autoSpaceDE w:val="0"/>
      <w:autoSpaceDN w:val="0"/>
      <w:adjustRightInd w:val="0"/>
      <w:spacing w:after="0" w:line="221" w:lineRule="atLeast"/>
    </w:pPr>
    <w:rPr>
      <w:rFonts w:ascii="UMMIL S+ Arial Rounded MT" w:hAnsi="UMMIL S+ Arial Rounded M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wilkinson@tameside.gov.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5537-2B4F-4C00-9AB9-2A3AEEEB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simon.brunet</dc:creator>
  <cp:lastModifiedBy>Clare Gee</cp:lastModifiedBy>
  <cp:revision>2</cp:revision>
  <cp:lastPrinted>2013-08-05T13:18:00Z</cp:lastPrinted>
  <dcterms:created xsi:type="dcterms:W3CDTF">2022-09-29T14:07:00Z</dcterms:created>
  <dcterms:modified xsi:type="dcterms:W3CDTF">2022-09-29T14:07:00Z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