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  <w:gridCol w:w="4678"/>
        <w:gridCol w:w="5670"/>
        <w:gridCol w:w="4394"/>
      </w:tblGrid>
      <w:tr w:rsidR="00224FF3" w:rsidTr="00224FF3">
        <w:trPr>
          <w:trHeight w:hRule="exact" w:val="567"/>
        </w:trPr>
        <w:tc>
          <w:tcPr>
            <w:tcW w:w="22930" w:type="dxa"/>
            <w:gridSpan w:val="4"/>
            <w:shd w:val="clear" w:color="auto" w:fill="auto"/>
          </w:tcPr>
          <w:p w:rsidR="00224FF3" w:rsidRPr="00224FF3" w:rsidRDefault="00706432" w:rsidP="00706432">
            <w:pPr>
              <w:rPr>
                <w:color w:val="00206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2060"/>
                <w:sz w:val="40"/>
                <w:szCs w:val="40"/>
              </w:rPr>
              <w:t>Children’s Strategy and Commissioning S</w:t>
            </w:r>
            <w:r w:rsidR="00F11C87">
              <w:rPr>
                <w:rFonts w:ascii="Arial" w:hAnsi="Arial" w:cs="Arial"/>
                <w:b/>
                <w:color w:val="002060"/>
                <w:sz w:val="40"/>
                <w:szCs w:val="40"/>
              </w:rPr>
              <w:t>ervice</w:t>
            </w:r>
            <w:r w:rsidR="00224FF3" w:rsidRPr="007B502B">
              <w:rPr>
                <w:rFonts w:ascii="Arial" w:hAnsi="Arial" w:cs="Arial"/>
                <w:b/>
                <w:color w:val="002060"/>
                <w:sz w:val="40"/>
                <w:szCs w:val="40"/>
              </w:rPr>
              <w:t xml:space="preserve"> Delivery Plan 201</w:t>
            </w:r>
            <w:r w:rsidR="00815B9A">
              <w:rPr>
                <w:rFonts w:ascii="Arial" w:hAnsi="Arial" w:cs="Arial"/>
                <w:b/>
                <w:color w:val="002060"/>
                <w:sz w:val="40"/>
                <w:szCs w:val="40"/>
              </w:rPr>
              <w:t>8</w:t>
            </w:r>
            <w:r w:rsidR="00455BDB">
              <w:rPr>
                <w:rFonts w:ascii="Arial" w:hAnsi="Arial" w:cs="Arial"/>
                <w:b/>
                <w:color w:val="002060"/>
                <w:sz w:val="40"/>
                <w:szCs w:val="40"/>
              </w:rPr>
              <w:t>/19</w:t>
            </w:r>
          </w:p>
        </w:tc>
      </w:tr>
      <w:tr w:rsidR="0054421D" w:rsidTr="00B67D95">
        <w:trPr>
          <w:trHeight w:val="3402"/>
        </w:trPr>
        <w:tc>
          <w:tcPr>
            <w:tcW w:w="8188" w:type="dxa"/>
            <w:shd w:val="clear" w:color="auto" w:fill="EDFFB9"/>
          </w:tcPr>
          <w:p w:rsidR="0054421D" w:rsidRPr="002D3BB9" w:rsidRDefault="0054421D" w:rsidP="005531E1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D3BB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Who we are and what we do</w:t>
            </w:r>
          </w:p>
          <w:p w:rsidR="0054421D" w:rsidRDefault="00DC7D99" w:rsidP="00E7483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The overarching aim of the directorate is to provide a range of positive and enabling services across early help, yout</w:t>
            </w:r>
            <w:r w:rsidR="00C16739">
              <w:rPr>
                <w:rFonts w:ascii="Arial" w:hAnsi="Arial" w:cs="Arial"/>
                <w:color w:val="00206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and </w:t>
            </w:r>
            <w:r w:rsidR="00C16739">
              <w:rPr>
                <w:rFonts w:ascii="Arial" w:hAnsi="Arial" w:cs="Arial"/>
                <w:color w:val="002060"/>
                <w:sz w:val="18"/>
                <w:szCs w:val="18"/>
              </w:rPr>
              <w:t>targeted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support programme</w:t>
            </w:r>
            <w:r w:rsidR="00C16739">
              <w:rPr>
                <w:rFonts w:ascii="Arial" w:hAnsi="Arial" w:cs="Arial"/>
                <w:color w:val="002060"/>
                <w:sz w:val="18"/>
                <w:szCs w:val="18"/>
              </w:rPr>
              <w:t>s</w:t>
            </w:r>
            <w:r w:rsidR="0054421D"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  <w:r w:rsidR="00C16739">
              <w:rPr>
                <w:rFonts w:ascii="Arial" w:hAnsi="Arial" w:cs="Arial"/>
                <w:color w:val="002060"/>
                <w:sz w:val="18"/>
                <w:szCs w:val="18"/>
              </w:rPr>
              <w:t xml:space="preserve">  Services work positively and creatively with children, young people and their families to make real difference</w:t>
            </w:r>
            <w:r w:rsidR="00322798">
              <w:rPr>
                <w:rFonts w:ascii="Arial" w:hAnsi="Arial" w:cs="Arial"/>
                <w:color w:val="002060"/>
                <w:sz w:val="18"/>
                <w:szCs w:val="18"/>
              </w:rPr>
              <w:t>s</w:t>
            </w:r>
            <w:r w:rsidR="00C16739">
              <w:rPr>
                <w:rFonts w:ascii="Arial" w:hAnsi="Arial" w:cs="Arial"/>
                <w:color w:val="002060"/>
                <w:sz w:val="18"/>
                <w:szCs w:val="18"/>
              </w:rPr>
              <w:t xml:space="preserve"> to lives and </w:t>
            </w:r>
            <w:r w:rsidR="00322798">
              <w:rPr>
                <w:rFonts w:ascii="Arial" w:hAnsi="Arial" w:cs="Arial"/>
                <w:color w:val="002060"/>
                <w:sz w:val="18"/>
                <w:szCs w:val="18"/>
              </w:rPr>
              <w:t xml:space="preserve">life </w:t>
            </w:r>
            <w:r w:rsidR="00C16739">
              <w:rPr>
                <w:rFonts w:ascii="Arial" w:hAnsi="Arial" w:cs="Arial"/>
                <w:color w:val="002060"/>
                <w:sz w:val="18"/>
                <w:szCs w:val="18"/>
              </w:rPr>
              <w:t>opportunities.  Front line activity is effectively supported by a range of business, commissioning and professional services that work to secure service objectives and deliver value.</w:t>
            </w:r>
          </w:p>
          <w:p w:rsidR="0054421D" w:rsidRDefault="0054421D" w:rsidP="00E7483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</w:p>
          <w:p w:rsidR="0054421D" w:rsidRDefault="0054421D" w:rsidP="00E7483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The service includes the following key functions:</w:t>
            </w:r>
          </w:p>
          <w:p w:rsidR="0054421D" w:rsidRDefault="00DC7D99" w:rsidP="006D7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Children’</w:t>
            </w:r>
            <w:r w:rsidR="005B142E">
              <w:rPr>
                <w:rFonts w:ascii="Arial" w:hAnsi="Arial" w:cs="Arial"/>
                <w:color w:val="00206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centres and Children First Hubs</w:t>
            </w:r>
          </w:p>
          <w:p w:rsidR="0054421D" w:rsidRDefault="00DC7D99" w:rsidP="006D7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Business development &amp; support, commissioning and workforce development</w:t>
            </w:r>
          </w:p>
          <w:p w:rsidR="0054421D" w:rsidRDefault="00063C7E" w:rsidP="006D7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Think Family</w:t>
            </w:r>
            <w:r w:rsidR="00DC7D99">
              <w:rPr>
                <w:rFonts w:ascii="Arial" w:hAnsi="Arial" w:cs="Arial"/>
                <w:color w:val="002060"/>
                <w:sz w:val="18"/>
                <w:szCs w:val="18"/>
              </w:rPr>
              <w:t xml:space="preserve"> programme</w:t>
            </w:r>
          </w:p>
          <w:p w:rsidR="0054421D" w:rsidRDefault="00DC7D99" w:rsidP="006D7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Liaison and diversion services</w:t>
            </w:r>
          </w:p>
          <w:p w:rsidR="0054421D" w:rsidRDefault="00D81521" w:rsidP="006D7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Youth Justice and Youth Support services</w:t>
            </w:r>
          </w:p>
          <w:p w:rsidR="0054421D" w:rsidRDefault="0054421D" w:rsidP="005B142E">
            <w:pPr>
              <w:pStyle w:val="ListParagraph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4421D" w:rsidRDefault="0054421D" w:rsidP="00E7483C">
            <w:pPr>
              <w:ind w:left="47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4421D" w:rsidRPr="009B13FD" w:rsidRDefault="0054421D" w:rsidP="00B67D95">
            <w:pPr>
              <w:ind w:left="47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9FFE7"/>
          </w:tcPr>
          <w:p w:rsidR="0054421D" w:rsidRPr="0054421D" w:rsidRDefault="0054421D" w:rsidP="0054421D">
            <w:pPr>
              <w:spacing w:before="4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54421D">
              <w:rPr>
                <w:rFonts w:ascii="Arial" w:hAnsi="Arial" w:cs="Arial"/>
                <w:b/>
                <w:color w:val="002060"/>
                <w:sz w:val="28"/>
                <w:szCs w:val="28"/>
              </w:rPr>
              <w:t>Our service challenges</w:t>
            </w:r>
          </w:p>
          <w:p w:rsidR="0054421D" w:rsidRDefault="0072597C" w:rsidP="0054421D">
            <w:pPr>
              <w:pStyle w:val="ListParagraph"/>
              <w:numPr>
                <w:ilvl w:val="0"/>
                <w:numId w:val="1"/>
              </w:numPr>
              <w:spacing w:before="120"/>
              <w:ind w:left="286" w:hanging="284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To define and regulate the relationship and role of Early Help with Integrated F</w:t>
            </w:r>
            <w:r w:rsidR="007A73A7">
              <w:rPr>
                <w:rFonts w:ascii="Arial" w:hAnsi="Arial" w:cs="Arial"/>
                <w:color w:val="002060"/>
                <w:sz w:val="18"/>
                <w:szCs w:val="18"/>
              </w:rPr>
              <w:t>ront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Door services, children’s social care and agencies across the partnership</w:t>
            </w:r>
          </w:p>
          <w:p w:rsidR="0054421D" w:rsidRDefault="0072597C" w:rsidP="0054421D">
            <w:pPr>
              <w:pStyle w:val="ListParagraph"/>
              <w:numPr>
                <w:ilvl w:val="0"/>
                <w:numId w:val="1"/>
              </w:numPr>
              <w:ind w:left="286" w:hanging="284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To deliver the </w:t>
            </w:r>
            <w:r w:rsidR="00063C7E">
              <w:rPr>
                <w:rFonts w:ascii="Arial" w:hAnsi="Arial" w:cs="Arial"/>
                <w:color w:val="002060"/>
                <w:sz w:val="18"/>
                <w:szCs w:val="18"/>
              </w:rPr>
              <w:t>Think Family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programme, working alongside the challenges of data compatibility</w:t>
            </w:r>
            <w:r w:rsidR="00727AA3">
              <w:rPr>
                <w:rFonts w:ascii="Arial" w:hAnsi="Arial" w:cs="Arial"/>
                <w:color w:val="002060"/>
                <w:sz w:val="18"/>
                <w:szCs w:val="18"/>
              </w:rPr>
              <w:t xml:space="preserve"> and claim targets</w:t>
            </w:r>
          </w:p>
          <w:p w:rsidR="00455BDB" w:rsidRDefault="0072597C" w:rsidP="0054421D">
            <w:pPr>
              <w:pStyle w:val="ListParagraph"/>
              <w:numPr>
                <w:ilvl w:val="0"/>
                <w:numId w:val="1"/>
              </w:numPr>
              <w:ind w:left="286" w:hanging="284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To continue to provide effectively commissioned services within a complex and shifting marketplace</w:t>
            </w:r>
          </w:p>
          <w:p w:rsidR="0054421D" w:rsidRPr="00D83E8C" w:rsidRDefault="00063C7E" w:rsidP="0072597C">
            <w:pPr>
              <w:pStyle w:val="ListParagraph"/>
              <w:numPr>
                <w:ilvl w:val="0"/>
                <w:numId w:val="1"/>
              </w:numPr>
              <w:ind w:left="286" w:hanging="284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To tackle</w:t>
            </w:r>
            <w:r w:rsidR="00D81521">
              <w:rPr>
                <w:rFonts w:ascii="Arial" w:hAnsi="Arial" w:cs="Arial"/>
                <w:color w:val="002060"/>
                <w:sz w:val="18"/>
                <w:szCs w:val="18"/>
              </w:rPr>
              <w:t>, prevent and reduce offending</w:t>
            </w:r>
          </w:p>
          <w:p w:rsidR="00D83E8C" w:rsidRPr="0054421D" w:rsidRDefault="00D83E8C" w:rsidP="0072597C">
            <w:pPr>
              <w:pStyle w:val="ListParagraph"/>
              <w:numPr>
                <w:ilvl w:val="0"/>
                <w:numId w:val="1"/>
              </w:numPr>
              <w:ind w:left="286" w:hanging="284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To ensure we all able to provide managers and practitioners equally equipped to continually improve practice </w:t>
            </w:r>
          </w:p>
        </w:tc>
        <w:tc>
          <w:tcPr>
            <w:tcW w:w="5670" w:type="dxa"/>
            <w:shd w:val="clear" w:color="auto" w:fill="FFEFF5"/>
          </w:tcPr>
          <w:p w:rsidR="0054421D" w:rsidRPr="002D3BB9" w:rsidRDefault="0054421D" w:rsidP="005531E1">
            <w:pPr>
              <w:spacing w:before="4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2D3BB9">
              <w:rPr>
                <w:rFonts w:ascii="Arial" w:hAnsi="Arial" w:cs="Arial"/>
                <w:b/>
                <w:color w:val="002060"/>
                <w:sz w:val="28"/>
                <w:szCs w:val="28"/>
              </w:rPr>
              <w:t>Delivering district outcomes</w:t>
            </w:r>
          </w:p>
          <w:p w:rsidR="0054421D" w:rsidRPr="002D3BB9" w:rsidRDefault="0054421D" w:rsidP="005531E1">
            <w:pPr>
              <w:spacing w:before="8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We are committed to working in partnership and delivering the </w:t>
            </w:r>
            <w:r w:rsidR="00455BDB">
              <w:rPr>
                <w:rFonts w:ascii="Arial" w:hAnsi="Arial" w:cs="Arial"/>
                <w:color w:val="002060"/>
                <w:sz w:val="18"/>
                <w:szCs w:val="18"/>
              </w:rPr>
              <w:t>Change Priorities for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 the district. </w:t>
            </w:r>
          </w:p>
          <w:p w:rsidR="0054421D" w:rsidRPr="002D3BB9" w:rsidRDefault="00455BDB" w:rsidP="006D729E">
            <w:pPr>
              <w:pStyle w:val="ListParagraph"/>
              <w:numPr>
                <w:ilvl w:val="0"/>
                <w:numId w:val="2"/>
              </w:numPr>
              <w:ind w:left="294" w:hanging="26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Learning Wakefield</w:t>
            </w:r>
          </w:p>
          <w:p w:rsidR="0054421D" w:rsidRPr="002D3BB9" w:rsidRDefault="00455BDB" w:rsidP="006D729E">
            <w:pPr>
              <w:pStyle w:val="ListParagraph"/>
              <w:numPr>
                <w:ilvl w:val="0"/>
                <w:numId w:val="2"/>
              </w:numPr>
              <w:ind w:left="294" w:hanging="26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Inventive Enterprising Wakefield</w:t>
            </w:r>
          </w:p>
          <w:p w:rsidR="0054421D" w:rsidRPr="002D3BB9" w:rsidRDefault="00455BDB" w:rsidP="006D729E">
            <w:pPr>
              <w:pStyle w:val="ListParagraph"/>
              <w:numPr>
                <w:ilvl w:val="0"/>
                <w:numId w:val="2"/>
              </w:numPr>
              <w:ind w:left="294" w:hanging="26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Wakefield Well-being</w:t>
            </w:r>
          </w:p>
          <w:p w:rsidR="0054421D" w:rsidRDefault="002976F9" w:rsidP="006D729E">
            <w:pPr>
              <w:pStyle w:val="ListParagraph"/>
              <w:numPr>
                <w:ilvl w:val="0"/>
                <w:numId w:val="2"/>
              </w:numPr>
              <w:ind w:left="294" w:hanging="26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Destination Wakefield</w:t>
            </w:r>
          </w:p>
          <w:p w:rsidR="002976F9" w:rsidRPr="002D3BB9" w:rsidRDefault="002976F9" w:rsidP="006D729E">
            <w:pPr>
              <w:pStyle w:val="ListParagraph"/>
              <w:numPr>
                <w:ilvl w:val="0"/>
                <w:numId w:val="2"/>
              </w:numPr>
              <w:ind w:left="294" w:hanging="26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Active &amp; Inspired Wakefield</w:t>
            </w:r>
          </w:p>
          <w:p w:rsidR="0054421D" w:rsidRPr="002D3BB9" w:rsidRDefault="0054421D" w:rsidP="0045533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Most of our services are aligned to </w:t>
            </w:r>
            <w:r w:rsidR="002976F9">
              <w:rPr>
                <w:rFonts w:ascii="Arial" w:hAnsi="Arial" w:cs="Arial"/>
                <w:color w:val="002060"/>
                <w:sz w:val="18"/>
                <w:szCs w:val="18"/>
              </w:rPr>
              <w:t>Wakefield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72597C">
              <w:rPr>
                <w:rFonts w:ascii="Arial" w:hAnsi="Arial" w:cs="Arial"/>
                <w:color w:val="002060"/>
                <w:sz w:val="18"/>
                <w:szCs w:val="18"/>
              </w:rPr>
              <w:t xml:space="preserve">Well-being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and </w:t>
            </w:r>
            <w:r w:rsidR="0072597C">
              <w:rPr>
                <w:rFonts w:ascii="Arial" w:hAnsi="Arial" w:cs="Arial"/>
                <w:color w:val="002060"/>
                <w:sz w:val="18"/>
                <w:szCs w:val="18"/>
              </w:rPr>
              <w:t xml:space="preserve">Active and Inspired </w:t>
            </w:r>
            <w:r w:rsidR="002976F9">
              <w:rPr>
                <w:rFonts w:ascii="Arial" w:hAnsi="Arial" w:cs="Arial"/>
                <w:color w:val="002060"/>
                <w:sz w:val="18"/>
                <w:szCs w:val="18"/>
              </w:rPr>
              <w:t xml:space="preserve">Wakefield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2976F9">
              <w:rPr>
                <w:rFonts w:ascii="Arial" w:hAnsi="Arial" w:cs="Arial"/>
                <w:color w:val="002060"/>
                <w:sz w:val="18"/>
                <w:szCs w:val="18"/>
              </w:rPr>
              <w:t>so that: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  <w:p w:rsidR="0054421D" w:rsidRPr="002D3BB9" w:rsidRDefault="0054421D" w:rsidP="006D729E">
            <w:pPr>
              <w:numPr>
                <w:ilvl w:val="0"/>
                <w:numId w:val="2"/>
              </w:numPr>
              <w:ind w:left="287" w:hanging="284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>C</w:t>
            </w:r>
            <w:r w:rsidR="002976F9">
              <w:rPr>
                <w:rFonts w:ascii="Arial" w:hAnsi="Arial" w:cs="Arial"/>
                <w:b/>
                <w:color w:val="002060"/>
                <w:sz w:val="18"/>
                <w:szCs w:val="18"/>
              </w:rPr>
              <w:t>hildren achieve their potential</w:t>
            </w: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and</w:t>
            </w:r>
          </w:p>
          <w:p w:rsidR="0054421D" w:rsidRPr="002D3BB9" w:rsidRDefault="0054421D" w:rsidP="006D729E">
            <w:pPr>
              <w:numPr>
                <w:ilvl w:val="0"/>
                <w:numId w:val="2"/>
              </w:numPr>
              <w:ind w:left="287" w:hanging="284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>Children have the best possible start in life.</w:t>
            </w:r>
          </w:p>
          <w:p w:rsidR="0054421D" w:rsidRPr="002D3BB9" w:rsidRDefault="0054421D" w:rsidP="002976F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Our contribution to ‘Transforming </w:t>
            </w:r>
            <w:r w:rsidR="00B67D95" w:rsidRPr="002D3BB9">
              <w:rPr>
                <w:rFonts w:ascii="Arial" w:hAnsi="Arial" w:cs="Arial"/>
                <w:color w:val="002060"/>
                <w:sz w:val="18"/>
                <w:szCs w:val="18"/>
              </w:rPr>
              <w:t>children’s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 services’ is aligned to the </w:t>
            </w:r>
            <w:r w:rsidR="002976F9">
              <w:rPr>
                <w:rFonts w:ascii="Arial" w:hAnsi="Arial" w:cs="Arial"/>
                <w:color w:val="002060"/>
                <w:sz w:val="18"/>
                <w:szCs w:val="18"/>
              </w:rPr>
              <w:t>Inventive Enterprising Wakefield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 theme.</w:t>
            </w:r>
          </w:p>
        </w:tc>
        <w:tc>
          <w:tcPr>
            <w:tcW w:w="4394" w:type="dxa"/>
            <w:shd w:val="clear" w:color="auto" w:fill="CECEEF"/>
          </w:tcPr>
          <w:p w:rsidR="0054421D" w:rsidRPr="002D3BB9" w:rsidRDefault="0054421D" w:rsidP="005531E1">
            <w:pPr>
              <w:spacing w:before="4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2D3BB9">
              <w:rPr>
                <w:rFonts w:ascii="Arial" w:hAnsi="Arial" w:cs="Arial"/>
                <w:b/>
                <w:color w:val="002060"/>
                <w:sz w:val="28"/>
                <w:szCs w:val="28"/>
              </w:rPr>
              <w:t>Working as ‘One Council’</w:t>
            </w:r>
          </w:p>
          <w:p w:rsidR="0054421D" w:rsidRPr="002D3BB9" w:rsidRDefault="0054421D" w:rsidP="005531E1">
            <w:pPr>
              <w:spacing w:before="8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We will work to the Council vision and be true to the Council’s core values of: </w:t>
            </w: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>Ambition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; </w:t>
            </w: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>Integrity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; and </w:t>
            </w: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>Respect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>. We are supported by the Council’s cross-cutting strategies:</w:t>
            </w:r>
          </w:p>
          <w:p w:rsidR="002976F9" w:rsidRDefault="0054421D" w:rsidP="006D729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976F9">
              <w:rPr>
                <w:rFonts w:ascii="Arial" w:hAnsi="Arial" w:cs="Arial"/>
                <w:b/>
                <w:color w:val="002060"/>
                <w:sz w:val="18"/>
                <w:szCs w:val="18"/>
              </w:rPr>
              <w:t>Strong customer focus</w:t>
            </w:r>
            <w:r w:rsidRPr="002976F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:rsidR="002976F9" w:rsidRDefault="002976F9" w:rsidP="006D729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Delivering efficient, effective and forward thinking services</w:t>
            </w:r>
            <w:r w:rsidR="0054421D" w:rsidRPr="002976F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:rsidR="002976F9" w:rsidRDefault="0054421D" w:rsidP="006D729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976F9">
              <w:rPr>
                <w:rFonts w:ascii="Arial" w:hAnsi="Arial" w:cs="Arial"/>
                <w:b/>
                <w:color w:val="002060"/>
                <w:sz w:val="18"/>
                <w:szCs w:val="18"/>
              </w:rPr>
              <w:t>Workforce development</w:t>
            </w:r>
            <w:r w:rsidRPr="002976F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:rsidR="002976F9" w:rsidRDefault="0054421D" w:rsidP="002976F9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976F9">
              <w:rPr>
                <w:rFonts w:ascii="Arial" w:hAnsi="Arial" w:cs="Arial"/>
                <w:b/>
                <w:color w:val="002060"/>
                <w:sz w:val="18"/>
                <w:szCs w:val="18"/>
              </w:rPr>
              <w:t>Using technology to improve delivery</w:t>
            </w:r>
            <w:r w:rsidRPr="002976F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:rsidR="0054421D" w:rsidRPr="002D3BB9" w:rsidRDefault="0054421D" w:rsidP="002976F9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>Effective use of buildings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</w:tc>
      </w:tr>
    </w:tbl>
    <w:p w:rsidR="007B502B" w:rsidRPr="007B502B" w:rsidRDefault="007B502B" w:rsidP="007B502B">
      <w:pPr>
        <w:spacing w:after="0"/>
        <w:rPr>
          <w:sz w:val="4"/>
          <w:szCs w:val="4"/>
        </w:rPr>
      </w:pPr>
    </w:p>
    <w:tbl>
      <w:tblPr>
        <w:tblW w:w="2296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59"/>
        <w:gridCol w:w="2567"/>
        <w:gridCol w:w="2655"/>
        <w:gridCol w:w="5954"/>
        <w:gridCol w:w="6662"/>
        <w:gridCol w:w="1418"/>
        <w:gridCol w:w="1417"/>
        <w:gridCol w:w="1134"/>
      </w:tblGrid>
      <w:tr w:rsidR="0045533A" w:rsidRPr="00CF3F22" w:rsidTr="00A117E6">
        <w:trPr>
          <w:trHeight w:hRule="exact" w:val="510"/>
        </w:trPr>
        <w:tc>
          <w:tcPr>
            <w:tcW w:w="22966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533A" w:rsidRPr="007B502B" w:rsidRDefault="0045533A" w:rsidP="007B502B">
            <w:pPr>
              <w:spacing w:before="40" w:after="4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B502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Delivering Council and Directorate priorities</w:t>
            </w:r>
          </w:p>
        </w:tc>
      </w:tr>
      <w:tr w:rsidR="0045533A" w:rsidRPr="00CF3F22" w:rsidTr="00343321">
        <w:trPr>
          <w:trHeight w:hRule="exact" w:val="680"/>
        </w:trPr>
        <w:tc>
          <w:tcPr>
            <w:tcW w:w="1159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45533A" w:rsidP="00747204">
            <w:pPr>
              <w:spacing w:before="20" w:after="20" w:line="240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District theme</w:t>
            </w:r>
          </w:p>
        </w:tc>
        <w:tc>
          <w:tcPr>
            <w:tcW w:w="2567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45533A" w:rsidP="00747204">
            <w:pPr>
              <w:spacing w:before="20" w:after="20" w:line="240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Directorate priority</w:t>
            </w:r>
          </w:p>
        </w:tc>
        <w:tc>
          <w:tcPr>
            <w:tcW w:w="2655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</w:tcPr>
          <w:p w:rsidR="0045533A" w:rsidRPr="00747204" w:rsidRDefault="00747204" w:rsidP="00747204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Service priority</w:t>
            </w:r>
          </w:p>
        </w:tc>
        <w:tc>
          <w:tcPr>
            <w:tcW w:w="5954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45533A" w:rsidP="00B67D95">
            <w:pPr>
              <w:spacing w:before="20" w:after="20" w:line="240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What good will look like by March 201</w:t>
            </w:r>
            <w:r w:rsidR="00306783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9</w:t>
            </w: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(unless stated)  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45533A" w:rsidP="00747204">
            <w:pPr>
              <w:spacing w:before="20" w:after="20" w:line="240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The things we need to do to achieve this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45533A" w:rsidP="00747204">
            <w:pPr>
              <w:spacing w:before="20" w:after="20" w:line="240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Completion date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45533A" w:rsidP="00747204">
            <w:pPr>
              <w:spacing w:before="20" w:after="20" w:line="240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  <w:lang w:val="en-US"/>
              </w:rPr>
              <w:t>Accountable officer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747204" w:rsidP="00747204">
            <w:pPr>
              <w:spacing w:before="20" w:after="20" w:line="240" w:lineRule="auto"/>
              <w:ind w:right="-199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Linked</w:t>
            </w:r>
            <w:r w:rsidR="0045533A"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‘One Council’ plan</w:t>
            </w:r>
          </w:p>
        </w:tc>
      </w:tr>
      <w:tr w:rsidR="00EE4FA7" w:rsidRPr="00CF3F22" w:rsidTr="00343321">
        <w:trPr>
          <w:trHeight w:val="792"/>
        </w:trPr>
        <w:tc>
          <w:tcPr>
            <w:tcW w:w="1159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Pr="005213E1" w:rsidRDefault="00925F4D" w:rsidP="00901E71">
            <w:pPr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Wakefield </w:t>
            </w:r>
            <w:r w:rsidR="00901E71">
              <w:rPr>
                <w:rFonts w:ascii="Arial" w:hAnsi="Arial" w:cs="Arial"/>
                <w:color w:val="00206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ellbeing</w:t>
            </w:r>
          </w:p>
        </w:tc>
        <w:tc>
          <w:tcPr>
            <w:tcW w:w="2567" w:type="dxa"/>
            <w:tcBorders>
              <w:bottom w:val="single" w:sz="4" w:space="0" w:color="669900"/>
            </w:tcBorders>
            <w:shd w:val="clear" w:color="auto" w:fill="B7B7FF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Pr="005213E1" w:rsidRDefault="00727AA3" w:rsidP="005531E1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Demonstrating real impact</w:t>
            </w:r>
          </w:p>
        </w:tc>
        <w:tc>
          <w:tcPr>
            <w:tcW w:w="2655" w:type="dxa"/>
            <w:tcBorders>
              <w:bottom w:val="single" w:sz="4" w:space="0" w:color="669900"/>
            </w:tcBorders>
            <w:shd w:val="clear" w:color="auto" w:fill="E0FFA3"/>
          </w:tcPr>
          <w:p w:rsidR="00EE4FA7" w:rsidRPr="00901E71" w:rsidRDefault="00727AA3" w:rsidP="00482D02">
            <w:pPr>
              <w:pStyle w:val="ListParagraph"/>
              <w:numPr>
                <w:ilvl w:val="0"/>
                <w:numId w:val="46"/>
              </w:numPr>
              <w:spacing w:before="20" w:after="20" w:line="240" w:lineRule="auto"/>
              <w:ind w:right="14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Improve the robustness of our data, and the ways in which we engage with and analyse that data</w:t>
            </w:r>
          </w:p>
        </w:tc>
        <w:tc>
          <w:tcPr>
            <w:tcW w:w="595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D83E8C" w:rsidRDefault="00D83E8C" w:rsidP="00D83E8C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Arial" w:hAnsi="Arial" w:cs="Arial"/>
                <w:sz w:val="20"/>
                <w:szCs w:val="20"/>
              </w:rPr>
              <w:t>Performance management arrangements are strengthened to enable managers to retain a firm grip on performance</w:t>
            </w:r>
          </w:p>
          <w:p w:rsidR="0082709D" w:rsidRDefault="0082709D" w:rsidP="00D83E8C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&amp; Business Intelligence team is able to provide additional resources and specialist skill-sets to support accurate data production and performance monitoring activity</w:t>
            </w:r>
          </w:p>
          <w:p w:rsidR="00A80A55" w:rsidRPr="00D83E8C" w:rsidRDefault="00A80A55" w:rsidP="00D83E8C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performance driven culture exists, including target setting and constructive challenge.</w:t>
            </w:r>
          </w:p>
          <w:p w:rsidR="00D83E8C" w:rsidRDefault="00D83E8C" w:rsidP="00D83E8C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Assurance policies and processes are strengthened  and embedded in services across the partnership</w:t>
            </w:r>
          </w:p>
          <w:p w:rsidR="00063C7E" w:rsidRDefault="00063C7E" w:rsidP="00D83E8C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PBI make full use of partnership data to appropriately tackle service delivery for families meeting Think Family criteria </w:t>
            </w:r>
          </w:p>
          <w:p w:rsidR="00063C7E" w:rsidRDefault="00063C7E" w:rsidP="00D83E8C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management systems capable of effective capture of partnership early help activity</w:t>
            </w:r>
          </w:p>
          <w:p w:rsidR="00A80A55" w:rsidRDefault="00A80A55" w:rsidP="00482D02">
            <w:pPr>
              <w:pStyle w:val="ListParagraph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4FA7" w:rsidRPr="00901E71" w:rsidRDefault="00EE4FA7" w:rsidP="00901E71">
            <w:pPr>
              <w:spacing w:before="40" w:after="40" w:line="240" w:lineRule="auto"/>
              <w:ind w:left="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80A55" w:rsidRDefault="00D83E8C" w:rsidP="00D83E8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Arial" w:hAnsi="Arial" w:cs="Arial"/>
                <w:sz w:val="20"/>
                <w:szCs w:val="20"/>
              </w:rPr>
              <w:t>•</w:t>
            </w:r>
            <w:r w:rsidR="00A80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900">
              <w:rPr>
                <w:rFonts w:ascii="Arial" w:hAnsi="Arial" w:cs="Arial"/>
                <w:sz w:val="20"/>
                <w:szCs w:val="20"/>
              </w:rPr>
              <w:t>Complete implementation of suite of Children &amp; Young People performance management reports and monitor and challenge performance via Performance Board</w:t>
            </w:r>
          </w:p>
          <w:p w:rsidR="00A80A55" w:rsidRDefault="0082709D" w:rsidP="00A80A5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Arial" w:hAnsi="Arial" w:cs="Arial"/>
                <w:sz w:val="20"/>
                <w:szCs w:val="20"/>
              </w:rPr>
              <w:t>•</w:t>
            </w:r>
            <w:r w:rsidR="00820900">
              <w:rPr>
                <w:rFonts w:ascii="Arial" w:hAnsi="Arial" w:cs="Arial"/>
                <w:sz w:val="20"/>
                <w:szCs w:val="20"/>
              </w:rPr>
              <w:t xml:space="preserve"> Continue to hold monthly Performance Clinics with services, setting targets where appropriate and constructively challenging managers to deliver improvements in performance</w:t>
            </w:r>
            <w:r w:rsidR="00A80A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0A55" w:rsidRDefault="00A80A55" w:rsidP="00A80A5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A80A55">
              <w:rPr>
                <w:rFonts w:ascii="Arial" w:hAnsi="Arial" w:cs="Arial"/>
                <w:sz w:val="20"/>
                <w:szCs w:val="20"/>
              </w:rPr>
              <w:t>ew Quality Assurance framework launched and completed audits are lea</w:t>
            </w:r>
            <w:r>
              <w:rPr>
                <w:rFonts w:ascii="Arial" w:hAnsi="Arial" w:cs="Arial"/>
                <w:sz w:val="20"/>
                <w:szCs w:val="20"/>
              </w:rPr>
              <w:t>ding to improvements in practice</w:t>
            </w:r>
          </w:p>
          <w:p w:rsidR="00D83E8C" w:rsidRPr="00A80A55" w:rsidRDefault="00A80A55" w:rsidP="00A80A5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 and practitioners have clarity and a consensus over what Good looks like.</w:t>
            </w:r>
          </w:p>
          <w:p w:rsidR="00EE4FA7" w:rsidRDefault="00D83E8C" w:rsidP="00A80A5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Arial" w:hAnsi="Arial" w:cs="Arial"/>
                <w:sz w:val="20"/>
                <w:szCs w:val="20"/>
              </w:rPr>
              <w:t>•</w:t>
            </w:r>
            <w:r w:rsidR="00A80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566">
              <w:rPr>
                <w:rFonts w:ascii="Arial" w:hAnsi="Arial" w:cs="Arial"/>
                <w:sz w:val="20"/>
                <w:szCs w:val="20"/>
              </w:rPr>
              <w:t>Implement a robust learning and feedback loop ensuring compliance and checking audit findings have been implemented</w:t>
            </w:r>
          </w:p>
          <w:p w:rsidR="00063C7E" w:rsidRDefault="00063C7E" w:rsidP="00063C7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Arial" w:hAnsi="Arial" w:cs="Arial"/>
                <w:sz w:val="20"/>
                <w:szCs w:val="20"/>
              </w:rPr>
              <w:t>•</w:t>
            </w:r>
            <w:r w:rsidR="00820900">
              <w:rPr>
                <w:rFonts w:ascii="Arial" w:hAnsi="Arial" w:cs="Arial"/>
                <w:sz w:val="20"/>
                <w:szCs w:val="20"/>
              </w:rPr>
              <w:t xml:space="preserve"> Strengthen resources within PBI Team to develop analytical approaches, supporting services to improve performance, resolve complex issues and inform service developments</w:t>
            </w:r>
          </w:p>
          <w:p w:rsidR="00063C7E" w:rsidRDefault="00063C7E" w:rsidP="00063C7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Arial" w:hAnsi="Arial" w:cs="Arial"/>
                <w:sz w:val="20"/>
                <w:szCs w:val="20"/>
              </w:rPr>
              <w:t>•</w:t>
            </w:r>
            <w:r w:rsidR="00820900">
              <w:rPr>
                <w:rFonts w:ascii="Arial" w:hAnsi="Arial" w:cs="Arial"/>
                <w:sz w:val="20"/>
                <w:szCs w:val="20"/>
              </w:rPr>
              <w:t xml:space="preserve"> Identify opportunities to streamline processes in relation to recording of practice to ensure robust recording of service activity and outcomes delivered for children and young people.</w:t>
            </w:r>
          </w:p>
          <w:p w:rsidR="00063C7E" w:rsidRDefault="00063C7E" w:rsidP="00A80A5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3C7E" w:rsidRPr="009B13FD" w:rsidRDefault="00063C7E" w:rsidP="00A80A5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D83E8C" w:rsidRPr="00D83E8C" w:rsidRDefault="00D83E8C" w:rsidP="00D83E8C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83E8C">
              <w:rPr>
                <w:rFonts w:ascii="Arial" w:hAnsi="Arial" w:cs="Arial"/>
                <w:color w:val="002060"/>
                <w:sz w:val="18"/>
                <w:szCs w:val="18"/>
              </w:rPr>
              <w:t>June 2018</w:t>
            </w:r>
          </w:p>
          <w:p w:rsidR="00D83E8C" w:rsidRPr="00D83E8C" w:rsidRDefault="00D83E8C" w:rsidP="00D83E8C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2709D" w:rsidRDefault="0082709D" w:rsidP="00D83E8C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August 2018</w:t>
            </w:r>
          </w:p>
          <w:p w:rsidR="003C2202" w:rsidRPr="00894E3E" w:rsidRDefault="00D83E8C" w:rsidP="00D83E8C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83E8C">
              <w:rPr>
                <w:rFonts w:ascii="Arial" w:hAnsi="Arial" w:cs="Arial"/>
                <w:color w:val="002060"/>
                <w:sz w:val="18"/>
                <w:szCs w:val="18"/>
              </w:rPr>
              <w:t>July 2018</w:t>
            </w:r>
          </w:p>
        </w:tc>
        <w:tc>
          <w:tcPr>
            <w:tcW w:w="1417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D83E8C" w:rsidRPr="00D83E8C" w:rsidRDefault="00D83E8C" w:rsidP="00D83E8C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83E8C">
              <w:rPr>
                <w:rFonts w:ascii="Arial" w:hAnsi="Arial" w:cs="Arial"/>
                <w:color w:val="002060"/>
                <w:sz w:val="18"/>
                <w:szCs w:val="18"/>
              </w:rPr>
              <w:t>Jill Holbert /</w:t>
            </w:r>
          </w:p>
          <w:p w:rsidR="00D83E8C" w:rsidRPr="00D83E8C" w:rsidRDefault="00D83E8C" w:rsidP="00D83E8C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83E8C">
              <w:rPr>
                <w:rFonts w:ascii="Arial" w:hAnsi="Arial" w:cs="Arial"/>
                <w:color w:val="002060"/>
                <w:sz w:val="18"/>
                <w:szCs w:val="18"/>
              </w:rPr>
              <w:t>Susan Yates</w:t>
            </w:r>
          </w:p>
          <w:p w:rsidR="0082709D" w:rsidRDefault="0082709D" w:rsidP="00D83E8C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Susan Yates</w:t>
            </w:r>
          </w:p>
          <w:p w:rsidR="00D83E8C" w:rsidRPr="00D83E8C" w:rsidRDefault="00D83E8C" w:rsidP="00D83E8C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83E8C">
              <w:rPr>
                <w:rFonts w:ascii="Arial" w:hAnsi="Arial" w:cs="Arial"/>
                <w:color w:val="002060"/>
                <w:sz w:val="18"/>
                <w:szCs w:val="18"/>
              </w:rPr>
              <w:t>Pam Allen /</w:t>
            </w:r>
          </w:p>
          <w:p w:rsidR="003C2202" w:rsidRPr="00894E3E" w:rsidRDefault="00D83E8C" w:rsidP="00D83E8C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83E8C">
              <w:rPr>
                <w:rFonts w:ascii="Arial" w:hAnsi="Arial" w:cs="Arial"/>
                <w:color w:val="002060"/>
                <w:sz w:val="18"/>
                <w:szCs w:val="18"/>
              </w:rPr>
              <w:t>Jill Holbert</w:t>
            </w:r>
          </w:p>
        </w:tc>
        <w:tc>
          <w:tcPr>
            <w:tcW w:w="113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Pr="00747204" w:rsidRDefault="00EE4FA7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06432" w:rsidRPr="00CF3F22" w:rsidTr="00343321">
        <w:trPr>
          <w:trHeight w:val="2672"/>
        </w:trPr>
        <w:tc>
          <w:tcPr>
            <w:tcW w:w="1159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06432" w:rsidRPr="005213E1" w:rsidRDefault="00925F4D" w:rsidP="00901E71">
            <w:pPr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Wakefield </w:t>
            </w:r>
            <w:r w:rsidR="00901E71">
              <w:rPr>
                <w:rFonts w:ascii="Arial" w:hAnsi="Arial" w:cs="Arial"/>
                <w:color w:val="00206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ellbeing</w:t>
            </w:r>
          </w:p>
        </w:tc>
        <w:tc>
          <w:tcPr>
            <w:tcW w:w="2567" w:type="dxa"/>
            <w:tcBorders>
              <w:bottom w:val="single" w:sz="4" w:space="0" w:color="669900"/>
            </w:tcBorders>
            <w:shd w:val="clear" w:color="auto" w:fill="B7B7FF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06432" w:rsidRPr="005213E1" w:rsidRDefault="00D40455" w:rsidP="00706432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Keeping people safe at times of vulnerability</w:t>
            </w:r>
          </w:p>
        </w:tc>
        <w:tc>
          <w:tcPr>
            <w:tcW w:w="2655" w:type="dxa"/>
            <w:tcBorders>
              <w:bottom w:val="single" w:sz="4" w:space="0" w:color="669900"/>
            </w:tcBorders>
            <w:shd w:val="clear" w:color="auto" w:fill="E0FFA3"/>
          </w:tcPr>
          <w:p w:rsidR="00706432" w:rsidRPr="00482D02" w:rsidRDefault="00D83E8C" w:rsidP="00482D02">
            <w:pPr>
              <w:pStyle w:val="ListParagraph"/>
              <w:numPr>
                <w:ilvl w:val="0"/>
                <w:numId w:val="46"/>
              </w:numPr>
              <w:spacing w:before="20" w:after="20" w:line="240" w:lineRule="auto"/>
              <w:ind w:right="14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82D02">
              <w:rPr>
                <w:rFonts w:ascii="Arial" w:hAnsi="Arial" w:cs="Arial"/>
                <w:b/>
                <w:color w:val="002060"/>
                <w:sz w:val="20"/>
                <w:szCs w:val="20"/>
              </w:rPr>
              <w:t>Deliver more effective Early Help to ensure children are getting the right help at the right time</w:t>
            </w:r>
          </w:p>
        </w:tc>
        <w:tc>
          <w:tcPr>
            <w:tcW w:w="595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06432" w:rsidRDefault="00590566" w:rsidP="00590566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Help Strategy has been reviewed and refreshed</w:t>
            </w:r>
          </w:p>
          <w:p w:rsidR="00590566" w:rsidRDefault="00590566" w:rsidP="00590566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Help practice standards are reviewed and updated, with input from Practitioners to promote consistent quality of practice</w:t>
            </w:r>
          </w:p>
          <w:p w:rsidR="00590566" w:rsidRDefault="00590566" w:rsidP="00590566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Help capacity and expertise is further embedded within Integrated Front Door Service</w:t>
            </w:r>
            <w:r w:rsidR="002E226C">
              <w:rPr>
                <w:rFonts w:ascii="Arial" w:hAnsi="Arial" w:cs="Arial"/>
                <w:sz w:val="20"/>
                <w:szCs w:val="20"/>
              </w:rPr>
              <w:t xml:space="preserve"> (IFD)</w:t>
            </w:r>
            <w:r>
              <w:rPr>
                <w:rFonts w:ascii="Arial" w:hAnsi="Arial" w:cs="Arial"/>
                <w:sz w:val="20"/>
                <w:szCs w:val="20"/>
              </w:rPr>
              <w:t>, including co-located staff and joint training</w:t>
            </w:r>
            <w:r w:rsidR="002E22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226C" w:rsidRDefault="002E226C" w:rsidP="00590566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Agencies across the partnership  are ‘upskilled’ to increase their confidence in completing early help assessments and interventions  </w:t>
            </w:r>
          </w:p>
          <w:p w:rsidR="00FF355B" w:rsidRDefault="00FF355B" w:rsidP="00590566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unified early help assessment framework is in place enabling agencies to capture and share information and share information and provide multi-agency support</w:t>
            </w:r>
          </w:p>
          <w:p w:rsidR="00590566" w:rsidRDefault="00590566" w:rsidP="00590566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Early Help dataset is implemented to support improved performance management </w:t>
            </w:r>
          </w:p>
          <w:p w:rsidR="00590566" w:rsidRDefault="00590566" w:rsidP="00590566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Early Help practitioners have been recruited to support the delivery of the wider early help offer</w:t>
            </w:r>
          </w:p>
          <w:p w:rsidR="00063C7E" w:rsidRPr="008D64F2" w:rsidRDefault="00063C7E" w:rsidP="00590566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Early Help practitioners have a clear continuous professional development  framework in place to promote and develop best practice</w:t>
            </w:r>
          </w:p>
          <w:p w:rsidR="00706432" w:rsidRPr="008D64F2" w:rsidRDefault="00706432" w:rsidP="002E226C">
            <w:pPr>
              <w:pStyle w:val="ListParagraph"/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06432" w:rsidRPr="002E226C" w:rsidRDefault="00706432" w:rsidP="002E226C">
            <w:pPr>
              <w:spacing w:before="40" w:after="40" w:line="240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E22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06432" w:rsidRDefault="00590566" w:rsidP="0059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90566"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Early Help Strategy finalised and launched</w:t>
            </w:r>
          </w:p>
          <w:p w:rsidR="00590566" w:rsidRDefault="00590566" w:rsidP="0059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26C">
              <w:rPr>
                <w:rFonts w:ascii="Arial" w:hAnsi="Arial" w:cs="Arial"/>
                <w:sz w:val="20"/>
                <w:szCs w:val="20"/>
              </w:rPr>
              <w:t>Practice standards are launched embedded and are reviewed as part of the QA framework</w:t>
            </w:r>
          </w:p>
          <w:p w:rsidR="00590566" w:rsidRDefault="00590566" w:rsidP="0059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26C">
              <w:rPr>
                <w:rFonts w:ascii="Arial" w:hAnsi="Arial" w:cs="Arial"/>
                <w:sz w:val="20"/>
                <w:szCs w:val="20"/>
              </w:rPr>
              <w:t>Early Help practitioner is embedded within IFD to strengthen decision making</w:t>
            </w:r>
          </w:p>
          <w:p w:rsidR="002E226C" w:rsidRDefault="002E226C" w:rsidP="002E226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C7E">
              <w:rPr>
                <w:rFonts w:ascii="Arial" w:hAnsi="Arial" w:cs="Arial"/>
                <w:sz w:val="20"/>
                <w:szCs w:val="20"/>
              </w:rPr>
              <w:t xml:space="preserve">Universal </w:t>
            </w:r>
            <w:r>
              <w:rPr>
                <w:rFonts w:ascii="Arial" w:hAnsi="Arial" w:cs="Arial"/>
                <w:sz w:val="20"/>
                <w:szCs w:val="20"/>
              </w:rPr>
              <w:t xml:space="preserve">Early Help </w:t>
            </w:r>
            <w:r w:rsidR="00063C7E">
              <w:rPr>
                <w:rFonts w:ascii="Arial" w:hAnsi="Arial" w:cs="Arial"/>
                <w:sz w:val="20"/>
                <w:szCs w:val="20"/>
              </w:rPr>
              <w:t>practitioners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work with partners to enable them increase completed early help assessments using the Signs of Safety model.</w:t>
            </w:r>
          </w:p>
          <w:p w:rsidR="00063C7E" w:rsidRDefault="00063C7E" w:rsidP="002E226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Roll-out of regular programme of CAF training</w:t>
            </w:r>
          </w:p>
          <w:p w:rsidR="002E226C" w:rsidRDefault="002E226C" w:rsidP="002E226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Early Help dataset produced and embedded across teams</w:t>
            </w:r>
          </w:p>
          <w:p w:rsidR="002E226C" w:rsidRDefault="002E226C" w:rsidP="002E226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Additional posts recruited to and new post holders in place</w:t>
            </w:r>
          </w:p>
          <w:p w:rsidR="00063C7E" w:rsidRDefault="00063C7E" w:rsidP="00063C7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Implement early help workforce development strategy</w:t>
            </w:r>
          </w:p>
          <w:p w:rsidR="00FF355B" w:rsidRDefault="00FF355B" w:rsidP="00063C7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Review of current WeCAF system </w:t>
            </w:r>
          </w:p>
          <w:p w:rsidR="00FF355B" w:rsidRDefault="00FF355B" w:rsidP="00063C7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Review of early help assessment framework to adopt a more streamlined approach</w:t>
            </w:r>
          </w:p>
          <w:p w:rsidR="00FF355B" w:rsidRPr="00063C7E" w:rsidRDefault="00FF355B" w:rsidP="00063C7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3C7E" w:rsidRDefault="00063C7E" w:rsidP="002E226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226C" w:rsidRDefault="002E226C" w:rsidP="0059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226C" w:rsidRDefault="002E226C" w:rsidP="002E226C">
            <w:pPr>
              <w:pStyle w:val="ListParagraph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226C" w:rsidRPr="002E226C" w:rsidRDefault="002E226C" w:rsidP="002E226C">
            <w:pPr>
              <w:pStyle w:val="ListParagraph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E226C" w:rsidRPr="00590566" w:rsidRDefault="002E226C" w:rsidP="0059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6432" w:rsidRPr="00590566" w:rsidRDefault="00706432" w:rsidP="0059056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6432" w:rsidRPr="00590566" w:rsidRDefault="00706432" w:rsidP="00590566">
            <w:pPr>
              <w:spacing w:before="40" w:after="40" w:line="240" w:lineRule="auto"/>
              <w:ind w:left="260"/>
              <w:rPr>
                <w:rFonts w:ascii="Arial" w:hAnsi="Arial" w:cs="Arial"/>
                <w:sz w:val="20"/>
                <w:szCs w:val="20"/>
              </w:rPr>
            </w:pPr>
          </w:p>
          <w:p w:rsidR="00706432" w:rsidRPr="009B13FD" w:rsidRDefault="00706432" w:rsidP="0070643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06432" w:rsidRPr="00894E3E" w:rsidRDefault="002E226C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>August 2018</w:t>
            </w:r>
          </w:p>
          <w:p w:rsidR="00706432" w:rsidRDefault="00706432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706432" w:rsidRDefault="00706432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706432" w:rsidRPr="00894E3E" w:rsidRDefault="00706432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06432" w:rsidRPr="00894E3E" w:rsidRDefault="002E226C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Catherine O’Melia</w:t>
            </w:r>
          </w:p>
          <w:p w:rsidR="00706432" w:rsidRDefault="00706432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706432" w:rsidRDefault="00706432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706432" w:rsidRPr="00894E3E" w:rsidRDefault="00706432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06432" w:rsidRPr="00747204" w:rsidRDefault="00706432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06432" w:rsidRPr="00CF3F22" w:rsidTr="00343321">
        <w:trPr>
          <w:trHeight w:val="18"/>
        </w:trPr>
        <w:tc>
          <w:tcPr>
            <w:tcW w:w="1159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06432" w:rsidRPr="005213E1" w:rsidRDefault="00925F4D" w:rsidP="00901E71">
            <w:pPr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 xml:space="preserve">Wakefield </w:t>
            </w:r>
            <w:r w:rsidR="00901E71">
              <w:rPr>
                <w:rFonts w:ascii="Arial" w:hAnsi="Arial" w:cs="Arial"/>
                <w:color w:val="00206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ellbeing</w:t>
            </w:r>
          </w:p>
        </w:tc>
        <w:tc>
          <w:tcPr>
            <w:tcW w:w="2567" w:type="dxa"/>
            <w:tcBorders>
              <w:bottom w:val="single" w:sz="4" w:space="0" w:color="669900"/>
            </w:tcBorders>
            <w:shd w:val="clear" w:color="auto" w:fill="B7B7FF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06432" w:rsidRPr="005213E1" w:rsidRDefault="00D40455" w:rsidP="00706432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A forward thinking council </w:t>
            </w:r>
          </w:p>
        </w:tc>
        <w:tc>
          <w:tcPr>
            <w:tcW w:w="2655" w:type="dxa"/>
            <w:tcBorders>
              <w:bottom w:val="single" w:sz="4" w:space="0" w:color="669900"/>
            </w:tcBorders>
            <w:shd w:val="clear" w:color="auto" w:fill="E0FFA3"/>
          </w:tcPr>
          <w:p w:rsidR="00706432" w:rsidRPr="0038106B" w:rsidRDefault="00D40455" w:rsidP="00482D02">
            <w:pPr>
              <w:pStyle w:val="ListParagraph"/>
              <w:numPr>
                <w:ilvl w:val="0"/>
                <w:numId w:val="46"/>
              </w:numPr>
              <w:spacing w:before="20" w:after="20" w:line="240" w:lineRule="auto"/>
              <w:ind w:right="14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Service priorities are supported by implementing robust and innovative </w:t>
            </w:r>
            <w:r w:rsidR="00482D02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Commissioning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arrangements</w:t>
            </w:r>
          </w:p>
        </w:tc>
        <w:tc>
          <w:tcPr>
            <w:tcW w:w="595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C37011" w:rsidRDefault="00D40455" w:rsidP="00482D02">
            <w:pPr>
              <w:pStyle w:val="ListParagraph"/>
              <w:numPr>
                <w:ilvl w:val="0"/>
                <w:numId w:val="39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are identified to research, assess need and commission to deliver specific services to support the safe and appropriate reduction in numbers of Looked Aft</w:t>
            </w:r>
            <w:r w:rsidR="0001353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 Children</w:t>
            </w:r>
            <w:r w:rsidR="00C370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2D02" w:rsidRDefault="00C37011" w:rsidP="00482D02">
            <w:pPr>
              <w:pStyle w:val="ListParagraph"/>
              <w:numPr>
                <w:ilvl w:val="0"/>
                <w:numId w:val="39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Secure a reduced spend on ‘mother and baby’ placements </w:t>
            </w:r>
          </w:p>
          <w:p w:rsidR="00482D02" w:rsidRDefault="00013539" w:rsidP="00482D02">
            <w:pPr>
              <w:pStyle w:val="ListParagraph"/>
              <w:numPr>
                <w:ilvl w:val="0"/>
                <w:numId w:val="39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Arrangements for ‘Pause’ type programme interventions to provide an effective model of support in reducing the numbers of children removed from women’s care</w:t>
            </w:r>
          </w:p>
          <w:p w:rsidR="00482D02" w:rsidRDefault="00575730" w:rsidP="00482D02">
            <w:pPr>
              <w:pStyle w:val="ListParagraph"/>
              <w:numPr>
                <w:ilvl w:val="0"/>
                <w:numId w:val="39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 of My Own programme (MOMO) is commissioned, supporting corporate parenting strategy and participation.</w:t>
            </w:r>
          </w:p>
          <w:p w:rsidR="00706432" w:rsidRPr="00482D02" w:rsidRDefault="00706432" w:rsidP="00013539">
            <w:pPr>
              <w:pStyle w:val="ListParagraph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6432" w:rsidRPr="008D64F2" w:rsidRDefault="00706432" w:rsidP="00482D02">
            <w:pPr>
              <w:pStyle w:val="ListParagraph"/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06432" w:rsidRPr="009B13FD" w:rsidRDefault="00706432" w:rsidP="00482D02">
            <w:pPr>
              <w:pStyle w:val="ListParagraph"/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D6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482D02" w:rsidRDefault="00482D02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13539">
              <w:rPr>
                <w:rFonts w:ascii="Arial" w:hAnsi="Arial" w:cs="Arial"/>
                <w:sz w:val="20"/>
                <w:szCs w:val="20"/>
              </w:rPr>
              <w:t xml:space="preserve">Develop and implement </w:t>
            </w:r>
            <w:r w:rsidR="00757A81">
              <w:rPr>
                <w:rFonts w:ascii="Arial" w:hAnsi="Arial" w:cs="Arial"/>
                <w:sz w:val="20"/>
                <w:szCs w:val="20"/>
              </w:rPr>
              <w:t>joint</w:t>
            </w:r>
            <w:r w:rsidR="00013539">
              <w:rPr>
                <w:rFonts w:ascii="Arial" w:hAnsi="Arial" w:cs="Arial"/>
                <w:sz w:val="20"/>
                <w:szCs w:val="20"/>
              </w:rPr>
              <w:t xml:space="preserve"> commissioning </w:t>
            </w:r>
            <w:r w:rsidR="00757A81">
              <w:rPr>
                <w:rFonts w:ascii="Arial" w:hAnsi="Arial" w:cs="Arial"/>
                <w:sz w:val="20"/>
                <w:szCs w:val="20"/>
              </w:rPr>
              <w:t>arrangements</w:t>
            </w:r>
            <w:r w:rsidR="00013539">
              <w:rPr>
                <w:rFonts w:ascii="Arial" w:hAnsi="Arial" w:cs="Arial"/>
                <w:sz w:val="20"/>
                <w:szCs w:val="20"/>
              </w:rPr>
              <w:t>, working in partnership where appropriate.</w:t>
            </w:r>
          </w:p>
          <w:p w:rsidR="00482D02" w:rsidRDefault="00482D02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13539">
              <w:rPr>
                <w:rFonts w:ascii="Arial" w:hAnsi="Arial" w:cs="Arial"/>
                <w:sz w:val="20"/>
                <w:szCs w:val="20"/>
              </w:rPr>
              <w:t>Identify resource</w:t>
            </w:r>
            <w:r w:rsidR="00EC7D47">
              <w:rPr>
                <w:rFonts w:ascii="Arial" w:hAnsi="Arial" w:cs="Arial"/>
                <w:sz w:val="20"/>
                <w:szCs w:val="20"/>
              </w:rPr>
              <w:t>s</w:t>
            </w:r>
            <w:r w:rsidR="00013539">
              <w:rPr>
                <w:rFonts w:ascii="Arial" w:hAnsi="Arial" w:cs="Arial"/>
                <w:sz w:val="20"/>
                <w:szCs w:val="20"/>
              </w:rPr>
              <w:t xml:space="preserve">, funding and procurement support to deliver </w:t>
            </w:r>
            <w:r w:rsidR="00EC7D47">
              <w:rPr>
                <w:rFonts w:ascii="Arial" w:hAnsi="Arial" w:cs="Arial"/>
                <w:sz w:val="20"/>
                <w:szCs w:val="20"/>
              </w:rPr>
              <w:t>specialist commissioned programmes</w:t>
            </w:r>
          </w:p>
          <w:p w:rsidR="00482D02" w:rsidRDefault="00482D02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C7D47">
              <w:rPr>
                <w:rFonts w:ascii="Arial" w:hAnsi="Arial" w:cs="Arial"/>
                <w:sz w:val="20"/>
                <w:szCs w:val="20"/>
              </w:rPr>
              <w:t xml:space="preserve">Identify and utilise performance data to </w:t>
            </w:r>
            <w:r w:rsidR="00757A81">
              <w:rPr>
                <w:rFonts w:ascii="Arial" w:hAnsi="Arial" w:cs="Arial"/>
                <w:sz w:val="20"/>
                <w:szCs w:val="20"/>
              </w:rPr>
              <w:t>inform commissioning activity</w:t>
            </w:r>
            <w:r w:rsidR="00EC7D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6432" w:rsidRDefault="00706432" w:rsidP="00482D02">
            <w:pPr>
              <w:pStyle w:val="ListParagraph"/>
              <w:spacing w:before="40" w:after="40" w:line="240" w:lineRule="auto"/>
              <w:ind w:left="565"/>
              <w:rPr>
                <w:rFonts w:ascii="Arial" w:hAnsi="Arial" w:cs="Arial"/>
                <w:sz w:val="20"/>
                <w:szCs w:val="20"/>
              </w:rPr>
            </w:pPr>
          </w:p>
          <w:p w:rsidR="00706432" w:rsidRDefault="00706432" w:rsidP="00482D02">
            <w:pPr>
              <w:pStyle w:val="ListParagraph"/>
              <w:spacing w:before="40" w:after="40" w:line="240" w:lineRule="auto"/>
              <w:ind w:left="565"/>
              <w:rPr>
                <w:rFonts w:ascii="Arial" w:hAnsi="Arial" w:cs="Arial"/>
                <w:sz w:val="20"/>
                <w:szCs w:val="20"/>
              </w:rPr>
            </w:pPr>
          </w:p>
          <w:p w:rsidR="00706432" w:rsidRPr="009B13FD" w:rsidRDefault="00706432" w:rsidP="00482D02">
            <w:pPr>
              <w:pStyle w:val="ListParagraph"/>
              <w:spacing w:before="40" w:after="40" w:line="240" w:lineRule="auto"/>
              <w:ind w:left="565"/>
              <w:rPr>
                <w:rFonts w:ascii="Arial" w:hAnsi="Arial" w:cs="Arial"/>
                <w:sz w:val="20"/>
                <w:szCs w:val="20"/>
              </w:rPr>
            </w:pPr>
          </w:p>
          <w:p w:rsidR="00706432" w:rsidRPr="009B13FD" w:rsidRDefault="00706432" w:rsidP="0070643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06432" w:rsidRPr="00894E3E" w:rsidRDefault="00EC7D47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March 2019</w:t>
            </w:r>
          </w:p>
          <w:p w:rsidR="00706432" w:rsidRDefault="00706432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706432" w:rsidRDefault="00706432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706432" w:rsidRDefault="00EC7D47" w:rsidP="00EC7D47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December 2018</w:t>
            </w:r>
          </w:p>
          <w:p w:rsidR="00EC7D47" w:rsidRDefault="00EC7D47" w:rsidP="00EC7D47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EC7D47" w:rsidRPr="00894E3E" w:rsidRDefault="00EC7D47" w:rsidP="00EC7D47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October 2018</w:t>
            </w:r>
          </w:p>
        </w:tc>
        <w:tc>
          <w:tcPr>
            <w:tcW w:w="1417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06432" w:rsidRPr="00894E3E" w:rsidRDefault="00EC7D47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Jane Hall</w:t>
            </w:r>
          </w:p>
          <w:p w:rsidR="00706432" w:rsidRDefault="00706432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706432" w:rsidRDefault="00706432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706432" w:rsidRDefault="00EC7D47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Jane Hall</w:t>
            </w:r>
          </w:p>
          <w:p w:rsidR="00EC7D47" w:rsidRDefault="00EC7D47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EC7D47" w:rsidRPr="00894E3E" w:rsidRDefault="00EC7D47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Jane Hall</w:t>
            </w:r>
          </w:p>
        </w:tc>
        <w:tc>
          <w:tcPr>
            <w:tcW w:w="113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06432" w:rsidRPr="00747204" w:rsidRDefault="00706432" w:rsidP="00706432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38106B" w:rsidRPr="00747204" w:rsidTr="00D746D3">
        <w:trPr>
          <w:trHeight w:val="18"/>
        </w:trPr>
        <w:tc>
          <w:tcPr>
            <w:tcW w:w="1159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Pr="005213E1" w:rsidRDefault="0038106B" w:rsidP="00D746D3">
            <w:pPr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Wakefield Wellbeing</w:t>
            </w:r>
          </w:p>
        </w:tc>
        <w:tc>
          <w:tcPr>
            <w:tcW w:w="2567" w:type="dxa"/>
            <w:tcBorders>
              <w:bottom w:val="single" w:sz="4" w:space="0" w:color="669900"/>
            </w:tcBorders>
            <w:shd w:val="clear" w:color="auto" w:fill="B7B7FF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Pr="005213E1" w:rsidRDefault="003D27EC" w:rsidP="00D746D3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Demonstrating real impact</w:t>
            </w:r>
          </w:p>
        </w:tc>
        <w:tc>
          <w:tcPr>
            <w:tcW w:w="2655" w:type="dxa"/>
            <w:tcBorders>
              <w:bottom w:val="single" w:sz="4" w:space="0" w:color="669900"/>
            </w:tcBorders>
            <w:shd w:val="clear" w:color="auto" w:fill="E0FFA3"/>
          </w:tcPr>
          <w:p w:rsidR="0038106B" w:rsidRPr="0038106B" w:rsidRDefault="00482D02" w:rsidP="00482D02">
            <w:pPr>
              <w:pStyle w:val="ListParagraph"/>
              <w:numPr>
                <w:ilvl w:val="0"/>
                <w:numId w:val="46"/>
              </w:numPr>
              <w:spacing w:before="20" w:after="20" w:line="240" w:lineRule="auto"/>
              <w:ind w:right="14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Implement </w:t>
            </w:r>
            <w:r w:rsidR="00EC7D4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the </w:t>
            </w:r>
            <w:r w:rsidR="00063C7E">
              <w:rPr>
                <w:rFonts w:ascii="Arial" w:hAnsi="Arial" w:cs="Arial"/>
                <w:b/>
                <w:color w:val="002060"/>
                <w:sz w:val="20"/>
                <w:szCs w:val="20"/>
              </w:rPr>
              <w:t>Think Family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programme</w:t>
            </w:r>
          </w:p>
        </w:tc>
        <w:tc>
          <w:tcPr>
            <w:tcW w:w="595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482D02" w:rsidRDefault="00EC7D47" w:rsidP="00482D02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number of families that are compliant with the Payment By Results (PBR)  requirements of the </w:t>
            </w:r>
            <w:r w:rsidR="00063C7E">
              <w:rPr>
                <w:rFonts w:ascii="Arial" w:hAnsi="Arial" w:cs="Arial"/>
                <w:sz w:val="20"/>
                <w:szCs w:val="20"/>
              </w:rPr>
              <w:t>Think Family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programme are increased</w:t>
            </w:r>
          </w:p>
          <w:p w:rsidR="00482D02" w:rsidRDefault="00063C7E" w:rsidP="00482D02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Family</w:t>
            </w:r>
            <w:r w:rsidR="00797B81">
              <w:rPr>
                <w:rFonts w:ascii="Arial" w:hAnsi="Arial" w:cs="Arial"/>
                <w:sz w:val="20"/>
                <w:szCs w:val="20"/>
              </w:rPr>
              <w:t xml:space="preserve"> Outcomes Plan  is utilised to focus activity of partners and improve family outcomes</w:t>
            </w:r>
          </w:p>
          <w:p w:rsidR="00482D02" w:rsidRDefault="00EC7D47" w:rsidP="00482D02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Agencies across the </w:t>
            </w:r>
            <w:r w:rsidR="00063C7E">
              <w:rPr>
                <w:rFonts w:ascii="Arial" w:hAnsi="Arial" w:cs="Arial"/>
                <w:sz w:val="20"/>
                <w:szCs w:val="20"/>
              </w:rPr>
              <w:t>Think Family</w:t>
            </w:r>
            <w:r>
              <w:rPr>
                <w:rFonts w:ascii="Arial" w:hAnsi="Arial" w:cs="Arial"/>
                <w:sz w:val="20"/>
                <w:szCs w:val="20"/>
              </w:rPr>
              <w:t xml:space="preserve"> partnership </w:t>
            </w:r>
            <w:r w:rsidR="00797B81">
              <w:rPr>
                <w:rFonts w:ascii="Arial" w:hAnsi="Arial" w:cs="Arial"/>
                <w:sz w:val="20"/>
                <w:szCs w:val="20"/>
              </w:rPr>
              <w:t xml:space="preserve">deliver support in accordance with Think Family principles and </w:t>
            </w:r>
            <w:r>
              <w:rPr>
                <w:rFonts w:ascii="Arial" w:hAnsi="Arial" w:cs="Arial"/>
                <w:sz w:val="20"/>
                <w:szCs w:val="20"/>
              </w:rPr>
              <w:t>are able to access funding for families where they are the lead partner.</w:t>
            </w:r>
          </w:p>
          <w:p w:rsidR="00FF355B" w:rsidRDefault="00FF355B" w:rsidP="00482D02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sustainability plan is in place for beyond March 2020 when the programme expires</w:t>
            </w:r>
          </w:p>
          <w:p w:rsidR="0038106B" w:rsidRPr="00482D02" w:rsidRDefault="0038106B" w:rsidP="00EC7D47">
            <w:pPr>
              <w:pStyle w:val="ListParagraph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106B" w:rsidRPr="008D64F2" w:rsidRDefault="0038106B" w:rsidP="00482D02">
            <w:pPr>
              <w:pStyle w:val="ListParagraph"/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D6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106B" w:rsidRPr="009B13FD" w:rsidRDefault="0038106B" w:rsidP="00482D02">
            <w:pPr>
              <w:pStyle w:val="ListParagraph"/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D6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482D02" w:rsidRDefault="00482D02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C7D47">
              <w:rPr>
                <w:rFonts w:ascii="Arial" w:hAnsi="Arial" w:cs="Arial"/>
                <w:sz w:val="20"/>
                <w:szCs w:val="20"/>
              </w:rPr>
              <w:t xml:space="preserve">Early Help and </w:t>
            </w:r>
            <w:r w:rsidR="00FF355B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="00EC7D47">
              <w:rPr>
                <w:rFonts w:ascii="Arial" w:hAnsi="Arial" w:cs="Arial"/>
                <w:sz w:val="20"/>
                <w:szCs w:val="20"/>
              </w:rPr>
              <w:t xml:space="preserve">partner agencies have an increased understanding of the </w:t>
            </w:r>
            <w:r w:rsidR="00063C7E">
              <w:rPr>
                <w:rFonts w:ascii="Arial" w:hAnsi="Arial" w:cs="Arial"/>
                <w:sz w:val="20"/>
                <w:szCs w:val="20"/>
              </w:rPr>
              <w:t>Think Family</w:t>
            </w:r>
            <w:r w:rsidR="00EC7D47">
              <w:rPr>
                <w:rFonts w:ascii="Arial" w:hAnsi="Arial" w:cs="Arial"/>
                <w:sz w:val="20"/>
                <w:szCs w:val="20"/>
              </w:rPr>
              <w:t xml:space="preserve">, and activity is better integrated to support </w:t>
            </w:r>
            <w:r w:rsidR="00274FEA">
              <w:rPr>
                <w:rFonts w:ascii="Arial" w:hAnsi="Arial" w:cs="Arial"/>
                <w:sz w:val="20"/>
                <w:szCs w:val="20"/>
              </w:rPr>
              <w:t>an increase in claim numbers</w:t>
            </w:r>
          </w:p>
          <w:p w:rsidR="00482D02" w:rsidRDefault="00482D02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74FEA">
              <w:rPr>
                <w:rFonts w:ascii="Arial" w:hAnsi="Arial" w:cs="Arial"/>
                <w:sz w:val="20"/>
                <w:szCs w:val="20"/>
              </w:rPr>
              <w:t xml:space="preserve">Ensure the </w:t>
            </w:r>
            <w:r w:rsidR="00063C7E">
              <w:rPr>
                <w:rFonts w:ascii="Arial" w:hAnsi="Arial" w:cs="Arial"/>
                <w:sz w:val="20"/>
                <w:szCs w:val="20"/>
              </w:rPr>
              <w:t>Think Family</w:t>
            </w:r>
            <w:r w:rsidR="00274FEA">
              <w:rPr>
                <w:rFonts w:ascii="Arial" w:hAnsi="Arial" w:cs="Arial"/>
                <w:sz w:val="20"/>
                <w:szCs w:val="20"/>
              </w:rPr>
              <w:t xml:space="preserve"> Outcomes </w:t>
            </w:r>
            <w:r w:rsidR="00FF355B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274FEA">
              <w:rPr>
                <w:rFonts w:ascii="Arial" w:hAnsi="Arial" w:cs="Arial"/>
                <w:sz w:val="20"/>
                <w:szCs w:val="20"/>
              </w:rPr>
              <w:t xml:space="preserve">supports </w:t>
            </w:r>
            <w:r w:rsidR="00797B81">
              <w:rPr>
                <w:rFonts w:ascii="Arial" w:hAnsi="Arial" w:cs="Arial"/>
                <w:sz w:val="20"/>
                <w:szCs w:val="20"/>
              </w:rPr>
              <w:t>wider delivery of Think Family approaches and maximises claims activity</w:t>
            </w:r>
          </w:p>
          <w:p w:rsidR="00482D02" w:rsidRDefault="00482D02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797B81">
              <w:rPr>
                <w:rFonts w:ascii="Arial" w:hAnsi="Arial" w:cs="Arial"/>
                <w:sz w:val="20"/>
                <w:szCs w:val="20"/>
              </w:rPr>
              <w:t>Annual review of Think Family Transformation Plan is completed by the partnership and priority actions agreed</w:t>
            </w:r>
            <w:r w:rsidR="00FF355B">
              <w:rPr>
                <w:rFonts w:ascii="Arial" w:hAnsi="Arial" w:cs="Arial"/>
                <w:sz w:val="20"/>
                <w:szCs w:val="20"/>
              </w:rPr>
              <w:t xml:space="preserve"> including mainstreaming of programme activity</w:t>
            </w:r>
          </w:p>
          <w:p w:rsidR="0038106B" w:rsidRPr="009B13FD" w:rsidRDefault="0038106B" w:rsidP="00D746D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Pr="00894E3E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8106B" w:rsidRDefault="00274FEA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March 2019</w:t>
            </w:r>
          </w:p>
          <w:p w:rsidR="00274FEA" w:rsidRDefault="00274FEA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4FEA" w:rsidRDefault="00274FEA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September 2018</w:t>
            </w:r>
          </w:p>
          <w:p w:rsidR="00274FEA" w:rsidRDefault="00274FEA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4FEA" w:rsidRDefault="00274FEA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8106B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8106B" w:rsidRPr="00894E3E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Pr="00894E3E" w:rsidRDefault="00EC7D47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Catherine O’Melia</w:t>
            </w:r>
          </w:p>
          <w:p w:rsidR="0038106B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8106B" w:rsidRDefault="00274FEA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Catherine O’Melia</w:t>
            </w:r>
          </w:p>
          <w:p w:rsidR="00274FEA" w:rsidRDefault="00274FEA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4FEA" w:rsidRDefault="00274FEA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Catherine O’Melia</w:t>
            </w:r>
          </w:p>
          <w:p w:rsidR="0038106B" w:rsidRPr="00894E3E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Pr="00747204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38106B" w:rsidRPr="00747204" w:rsidTr="00D746D3">
        <w:trPr>
          <w:trHeight w:val="18"/>
        </w:trPr>
        <w:tc>
          <w:tcPr>
            <w:tcW w:w="1159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Pr="005213E1" w:rsidRDefault="0038106B" w:rsidP="00D746D3">
            <w:pPr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Wakefield Wellbeing</w:t>
            </w:r>
          </w:p>
        </w:tc>
        <w:tc>
          <w:tcPr>
            <w:tcW w:w="2567" w:type="dxa"/>
            <w:tcBorders>
              <w:bottom w:val="single" w:sz="4" w:space="0" w:color="669900"/>
            </w:tcBorders>
            <w:shd w:val="clear" w:color="auto" w:fill="B7B7FF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Pr="005213E1" w:rsidRDefault="003D27EC" w:rsidP="00D746D3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Helping people to help themselves / keeping people safe at times of vulnerability</w:t>
            </w:r>
          </w:p>
        </w:tc>
        <w:tc>
          <w:tcPr>
            <w:tcW w:w="2655" w:type="dxa"/>
            <w:tcBorders>
              <w:bottom w:val="single" w:sz="4" w:space="0" w:color="669900"/>
            </w:tcBorders>
            <w:shd w:val="clear" w:color="auto" w:fill="E0FFA3"/>
          </w:tcPr>
          <w:p w:rsidR="0038106B" w:rsidRPr="00482D02" w:rsidRDefault="00AF0EA9" w:rsidP="00757A81">
            <w:pPr>
              <w:pStyle w:val="ListParagraph"/>
              <w:numPr>
                <w:ilvl w:val="0"/>
                <w:numId w:val="46"/>
              </w:numPr>
              <w:spacing w:before="20" w:after="20" w:line="240" w:lineRule="auto"/>
              <w:ind w:right="14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Provision of  </w:t>
            </w:r>
            <w:r w:rsidR="00757A81"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outh </w:t>
            </w:r>
            <w:r w:rsidR="00D81521">
              <w:rPr>
                <w:rFonts w:ascii="Arial" w:hAnsi="Arial" w:cs="Arial"/>
                <w:b/>
                <w:color w:val="002060"/>
                <w:sz w:val="20"/>
                <w:szCs w:val="20"/>
              </w:rPr>
              <w:t>Support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and Liaison &amp; Diversion services</w:t>
            </w:r>
          </w:p>
        </w:tc>
        <w:tc>
          <w:tcPr>
            <w:tcW w:w="595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97B81" w:rsidRDefault="00797B81" w:rsidP="00797B81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effectively deliver the Wakefield partnership </w:t>
            </w:r>
            <w:r w:rsidR="009F680D">
              <w:rPr>
                <w:rFonts w:ascii="Arial" w:hAnsi="Arial" w:cs="Arial"/>
                <w:sz w:val="20"/>
                <w:szCs w:val="20"/>
              </w:rPr>
              <w:t>for youth justice to tackle, prevent and reduce youth crime</w:t>
            </w:r>
          </w:p>
          <w:p w:rsidR="00797B81" w:rsidRDefault="00797B81" w:rsidP="00797B81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is completed, across the criminal justice system, identifying those entering the justice system with a range of health and social vulnerabilities. Effective support is provided to young people to enable them to access and engage with services </w:t>
            </w:r>
          </w:p>
          <w:p w:rsidR="00797B81" w:rsidRDefault="00797B81" w:rsidP="00C83992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80D">
              <w:rPr>
                <w:rFonts w:ascii="Arial" w:hAnsi="Arial" w:cs="Arial"/>
                <w:sz w:val="20"/>
                <w:szCs w:val="20"/>
              </w:rPr>
              <w:t>We have early identification of young people experiencing difficulties in their teenage years, and we offer support on their path to adulthood and success</w:t>
            </w:r>
          </w:p>
          <w:p w:rsidR="00D81521" w:rsidRPr="009F680D" w:rsidRDefault="00D81521" w:rsidP="00C83992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publicise and communicate an offer of youth support and positive youth activities </w:t>
            </w:r>
          </w:p>
          <w:p w:rsidR="0038106B" w:rsidRPr="008D64F2" w:rsidRDefault="0038106B" w:rsidP="00482D02">
            <w:pPr>
              <w:pStyle w:val="ListParagraph"/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38106B" w:rsidRPr="009B13FD" w:rsidRDefault="0038106B" w:rsidP="00482D02">
            <w:pPr>
              <w:pStyle w:val="ListParagraph"/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9F680D" w:rsidRDefault="00482D02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F680D">
              <w:rPr>
                <w:rFonts w:ascii="Arial" w:hAnsi="Arial" w:cs="Arial"/>
                <w:sz w:val="20"/>
                <w:szCs w:val="20"/>
              </w:rPr>
              <w:t xml:space="preserve">Reduce the use of youth custody to below </w:t>
            </w:r>
            <w:r w:rsidR="00D81521">
              <w:rPr>
                <w:rFonts w:ascii="Arial" w:hAnsi="Arial" w:cs="Arial"/>
                <w:sz w:val="20"/>
                <w:szCs w:val="20"/>
              </w:rPr>
              <w:t>the national average</w:t>
            </w:r>
          </w:p>
          <w:p w:rsidR="00D81521" w:rsidRDefault="00FF355B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F355B">
              <w:rPr>
                <w:rFonts w:ascii="Arial" w:hAnsi="Arial" w:cs="Arial"/>
                <w:sz w:val="20"/>
                <w:szCs w:val="20"/>
                <w:lang w:val="en-US"/>
              </w:rPr>
              <w:t>To reduce the number of first time entrants to the criminal justice system to below the national average. </w:t>
            </w:r>
          </w:p>
          <w:p w:rsidR="00FF355B" w:rsidRDefault="00D81521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 increase the % of liaison and diversion service users reporting improved outcomes to above the national average</w:t>
            </w:r>
          </w:p>
          <w:p w:rsidR="00482D02" w:rsidRDefault="00482D02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F680D">
              <w:rPr>
                <w:rFonts w:ascii="Arial" w:hAnsi="Arial" w:cs="Arial"/>
                <w:sz w:val="20"/>
                <w:szCs w:val="20"/>
              </w:rPr>
              <w:t>Increase engagement with Liaison &amp; Diversion to above the national average</w:t>
            </w:r>
          </w:p>
          <w:p w:rsidR="00FF355B" w:rsidRDefault="00FF355B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55B">
              <w:rPr>
                <w:rFonts w:ascii="Arial" w:hAnsi="Arial" w:cs="Arial"/>
                <w:sz w:val="20"/>
                <w:szCs w:val="20"/>
              </w:rPr>
              <w:t>•To reduce the rate of youth reoffending to below the national average</w:t>
            </w:r>
          </w:p>
          <w:p w:rsidR="00482D02" w:rsidRDefault="00482D02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9F680D">
              <w:rPr>
                <w:rFonts w:ascii="Arial" w:hAnsi="Arial" w:cs="Arial"/>
                <w:sz w:val="20"/>
                <w:szCs w:val="20"/>
              </w:rPr>
              <w:t>Increase the participation by young people in targeted youth support programmes</w:t>
            </w:r>
          </w:p>
          <w:p w:rsidR="009F680D" w:rsidRDefault="009F680D" w:rsidP="009F680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Increase contact with young people through street based youth outreach programmes</w:t>
            </w:r>
          </w:p>
          <w:p w:rsidR="009F680D" w:rsidRDefault="009F680D" w:rsidP="009F680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Increase the number of volunteers successfully completing ‘Youth Reach’ training programme</w:t>
            </w:r>
          </w:p>
          <w:p w:rsidR="009F680D" w:rsidRDefault="009F680D" w:rsidP="009F680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680D" w:rsidRDefault="009F680D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680D" w:rsidRDefault="009F680D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106B" w:rsidRPr="009B13FD" w:rsidRDefault="0038106B" w:rsidP="00D746D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March 2019</w:t>
            </w:r>
          </w:p>
          <w:p w:rsidR="00D81521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D81521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March 2019</w:t>
            </w:r>
          </w:p>
          <w:p w:rsidR="00D81521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D81521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March 2019</w:t>
            </w:r>
          </w:p>
          <w:p w:rsidR="00D81521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D81521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March 2019</w:t>
            </w:r>
          </w:p>
          <w:p w:rsidR="00D81521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D81521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March 2019</w:t>
            </w:r>
          </w:p>
          <w:p w:rsidR="00D81521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D81521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March 2019</w:t>
            </w:r>
          </w:p>
          <w:p w:rsidR="00D81521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D81521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March 2019</w:t>
            </w:r>
          </w:p>
          <w:p w:rsidR="00D81521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D81521" w:rsidRPr="00894E3E" w:rsidRDefault="00D8152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8106B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8106B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8106B" w:rsidRPr="00894E3E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Default="00F23B28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Stephen Crofts</w:t>
            </w:r>
          </w:p>
          <w:p w:rsidR="009F680D" w:rsidRDefault="009F680D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9F680D" w:rsidRPr="00894E3E" w:rsidRDefault="009F680D" w:rsidP="009F680D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Stephen Crofts</w:t>
            </w:r>
          </w:p>
          <w:p w:rsidR="009F680D" w:rsidRDefault="009F680D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9F680D" w:rsidRPr="00894E3E" w:rsidRDefault="009F680D" w:rsidP="009F680D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Stephen Crofts</w:t>
            </w:r>
          </w:p>
          <w:p w:rsidR="009F680D" w:rsidRDefault="009F680D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9F680D" w:rsidRPr="00894E3E" w:rsidRDefault="009F680D" w:rsidP="009F680D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Stephen Crofts</w:t>
            </w:r>
          </w:p>
          <w:p w:rsidR="009F680D" w:rsidRDefault="009F680D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9F680D" w:rsidRPr="00894E3E" w:rsidRDefault="009F680D" w:rsidP="009F680D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Stephen Crofts</w:t>
            </w:r>
          </w:p>
          <w:p w:rsidR="00C37011" w:rsidRDefault="00C3701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9F680D" w:rsidRDefault="00C3701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Stephen Crofts</w:t>
            </w:r>
          </w:p>
          <w:p w:rsidR="00C37011" w:rsidRDefault="00C3701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37011" w:rsidRPr="00894E3E" w:rsidRDefault="00C3701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Stephen Crofts</w:t>
            </w:r>
          </w:p>
          <w:p w:rsidR="0038106B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8106B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8106B" w:rsidRPr="00894E3E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Pr="00747204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38106B" w:rsidRPr="00747204" w:rsidTr="00D746D3">
        <w:trPr>
          <w:trHeight w:val="18"/>
        </w:trPr>
        <w:tc>
          <w:tcPr>
            <w:tcW w:w="1159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Pr="005213E1" w:rsidRDefault="0038106B" w:rsidP="00D746D3">
            <w:pPr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Wakefield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>Wellbeing</w:t>
            </w:r>
          </w:p>
        </w:tc>
        <w:tc>
          <w:tcPr>
            <w:tcW w:w="2567" w:type="dxa"/>
            <w:tcBorders>
              <w:bottom w:val="single" w:sz="4" w:space="0" w:color="669900"/>
            </w:tcBorders>
            <w:shd w:val="clear" w:color="auto" w:fill="B7B7FF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Pr="005213E1" w:rsidRDefault="003D27EC" w:rsidP="00D746D3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 xml:space="preserve">Being a forward thinking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council</w:t>
            </w:r>
          </w:p>
        </w:tc>
        <w:tc>
          <w:tcPr>
            <w:tcW w:w="2655" w:type="dxa"/>
            <w:tcBorders>
              <w:bottom w:val="single" w:sz="4" w:space="0" w:color="669900"/>
            </w:tcBorders>
            <w:shd w:val="clear" w:color="auto" w:fill="E0FFA3"/>
          </w:tcPr>
          <w:p w:rsidR="0038106B" w:rsidRPr="00482D02" w:rsidRDefault="00274FEA" w:rsidP="00482D02">
            <w:pPr>
              <w:pStyle w:val="ListParagraph"/>
              <w:numPr>
                <w:ilvl w:val="0"/>
                <w:numId w:val="46"/>
              </w:numPr>
              <w:spacing w:before="20" w:after="20" w:line="240" w:lineRule="auto"/>
              <w:ind w:right="14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Ensure staff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feedback and engagement underpins all improvement activity</w:t>
            </w:r>
          </w:p>
        </w:tc>
        <w:tc>
          <w:tcPr>
            <w:tcW w:w="595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Default="00274FEA" w:rsidP="00274FEA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 Communications Strategy is in place, and staff have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opportunities to fully engage with the Improvement Programme</w:t>
            </w:r>
          </w:p>
          <w:p w:rsidR="00482D02" w:rsidRDefault="00F23B28" w:rsidP="00482D02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 and high quality practice is in place across services, delivered by confident and competent practitioners</w:t>
            </w:r>
          </w:p>
          <w:p w:rsidR="00482D02" w:rsidRDefault="00482D02" w:rsidP="00F23B28">
            <w:pPr>
              <w:pStyle w:val="ListParagraph"/>
              <w:spacing w:before="40" w:after="40" w:line="240" w:lineRule="auto"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:rsidR="0038106B" w:rsidRPr="008D64F2" w:rsidRDefault="0038106B" w:rsidP="00482D02">
            <w:pPr>
              <w:pStyle w:val="ListParagraph"/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38106B" w:rsidRPr="009B13FD" w:rsidRDefault="0038106B" w:rsidP="00482D02">
            <w:pPr>
              <w:pStyle w:val="ListParagraph"/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D6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482D02" w:rsidRDefault="00482D02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274FEA">
              <w:rPr>
                <w:rFonts w:ascii="Arial" w:hAnsi="Arial" w:cs="Arial"/>
                <w:sz w:val="20"/>
                <w:szCs w:val="20"/>
              </w:rPr>
              <w:t>Develop and implement a Communications Strategy</w:t>
            </w:r>
          </w:p>
          <w:p w:rsidR="00482D02" w:rsidRDefault="00482D02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="00F23B28">
              <w:rPr>
                <w:rFonts w:ascii="Arial" w:hAnsi="Arial" w:cs="Arial"/>
                <w:sz w:val="20"/>
                <w:szCs w:val="20"/>
              </w:rPr>
              <w:t>Ensure Beate’s Famous Five standards are fully embedded across children’s social care, displayed in all locations and form part of all team meetings</w:t>
            </w:r>
          </w:p>
          <w:p w:rsidR="00482D02" w:rsidRDefault="00482D02" w:rsidP="00482D0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106B" w:rsidRPr="009B13FD" w:rsidRDefault="0038106B" w:rsidP="00D746D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Default="00F23B28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>July 2018</w:t>
            </w:r>
          </w:p>
          <w:p w:rsidR="00F23B28" w:rsidRDefault="00F23B28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37011" w:rsidRDefault="00C3701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F23B28" w:rsidRPr="00894E3E" w:rsidRDefault="00F23B28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June 2018</w:t>
            </w:r>
          </w:p>
          <w:p w:rsidR="0038106B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8106B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8106B" w:rsidRPr="00894E3E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Pr="00894E3E" w:rsidRDefault="00F23B28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>Jill Holbert</w:t>
            </w:r>
          </w:p>
          <w:p w:rsidR="0038106B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37011" w:rsidRDefault="00C37011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8106B" w:rsidRDefault="00F23B28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Jill Holbert</w:t>
            </w:r>
          </w:p>
          <w:p w:rsidR="0038106B" w:rsidRPr="00894E3E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38106B" w:rsidRPr="00747204" w:rsidRDefault="0038106B" w:rsidP="00D746D3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D107EC" w:rsidRPr="00747204" w:rsidTr="00325616">
        <w:trPr>
          <w:trHeight w:val="18"/>
        </w:trPr>
        <w:tc>
          <w:tcPr>
            <w:tcW w:w="1159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D107EC" w:rsidRPr="005213E1" w:rsidRDefault="00D107EC" w:rsidP="00325616">
            <w:pPr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>Wakefield Wellbeing</w:t>
            </w:r>
          </w:p>
        </w:tc>
        <w:tc>
          <w:tcPr>
            <w:tcW w:w="2567" w:type="dxa"/>
            <w:tcBorders>
              <w:bottom w:val="single" w:sz="4" w:space="0" w:color="669900"/>
            </w:tcBorders>
            <w:shd w:val="clear" w:color="auto" w:fill="B7B7FF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D107EC" w:rsidRPr="005213E1" w:rsidRDefault="003D27EC" w:rsidP="00325616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Being a forward thinking council</w:t>
            </w:r>
          </w:p>
        </w:tc>
        <w:tc>
          <w:tcPr>
            <w:tcW w:w="2655" w:type="dxa"/>
            <w:tcBorders>
              <w:bottom w:val="single" w:sz="4" w:space="0" w:color="669900"/>
            </w:tcBorders>
            <w:shd w:val="clear" w:color="auto" w:fill="E0FFA3"/>
          </w:tcPr>
          <w:p w:rsidR="00D107EC" w:rsidRPr="00482D02" w:rsidRDefault="00D107EC" w:rsidP="00325616">
            <w:pPr>
              <w:pStyle w:val="ListParagraph"/>
              <w:numPr>
                <w:ilvl w:val="0"/>
                <w:numId w:val="46"/>
              </w:numPr>
              <w:spacing w:before="20" w:after="20" w:line="240" w:lineRule="auto"/>
              <w:ind w:right="14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Effective workforce development</w:t>
            </w:r>
          </w:p>
        </w:tc>
        <w:tc>
          <w:tcPr>
            <w:tcW w:w="595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757A81" w:rsidRDefault="00D107EC" w:rsidP="00D107EC">
            <w:pPr>
              <w:pStyle w:val="ListParagraph"/>
              <w:numPr>
                <w:ilvl w:val="1"/>
                <w:numId w:val="46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a highly skilled and experienced workforce, underpinned by a</w:t>
            </w:r>
            <w:r w:rsidR="00757A81">
              <w:rPr>
                <w:rFonts w:ascii="Arial" w:hAnsi="Arial" w:cs="Arial"/>
                <w:sz w:val="20"/>
                <w:szCs w:val="20"/>
              </w:rPr>
              <w:t xml:space="preserve"> Workforce Development Strategy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57A8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up-to-date workforce profile. </w:t>
            </w:r>
          </w:p>
          <w:p w:rsidR="00D107EC" w:rsidRDefault="00D107EC" w:rsidP="00D107EC">
            <w:pPr>
              <w:pStyle w:val="ListParagraph"/>
              <w:numPr>
                <w:ilvl w:val="1"/>
                <w:numId w:val="46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workforce profile informs our recruitment, placement and retention of key practitioner groups</w:t>
            </w:r>
          </w:p>
          <w:p w:rsidR="00D107EC" w:rsidRDefault="00D107EC" w:rsidP="00D107EC">
            <w:pPr>
              <w:pStyle w:val="ListParagraph"/>
              <w:numPr>
                <w:ilvl w:val="1"/>
                <w:numId w:val="46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learning and development needs of the workforce are well understood and informed by a </w:t>
            </w:r>
            <w:r w:rsidR="00757A81">
              <w:rPr>
                <w:rFonts w:ascii="Arial" w:hAnsi="Arial" w:cs="Arial"/>
                <w:sz w:val="20"/>
                <w:szCs w:val="20"/>
              </w:rPr>
              <w:t xml:space="preserve">an annual </w:t>
            </w:r>
            <w:r>
              <w:rPr>
                <w:rFonts w:ascii="Arial" w:hAnsi="Arial" w:cs="Arial"/>
                <w:sz w:val="20"/>
                <w:szCs w:val="20"/>
              </w:rPr>
              <w:t xml:space="preserve">Learning Needs </w:t>
            </w:r>
            <w:r w:rsidR="00757A81">
              <w:rPr>
                <w:rFonts w:ascii="Arial" w:hAnsi="Arial" w:cs="Arial"/>
                <w:sz w:val="20"/>
                <w:szCs w:val="20"/>
              </w:rPr>
              <w:t>conversation</w:t>
            </w:r>
          </w:p>
          <w:p w:rsidR="00757A81" w:rsidRPr="00D107EC" w:rsidRDefault="00757A81" w:rsidP="00D107EC">
            <w:pPr>
              <w:pStyle w:val="ListParagraph"/>
              <w:numPr>
                <w:ilvl w:val="1"/>
                <w:numId w:val="46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practice model, Signs of Safety is further strengthened.</w:t>
            </w:r>
          </w:p>
          <w:p w:rsidR="00D107EC" w:rsidRDefault="00D107EC" w:rsidP="00325616">
            <w:pPr>
              <w:pStyle w:val="ListParagraph"/>
              <w:spacing w:before="40" w:after="40" w:line="240" w:lineRule="auto"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:rsidR="00D107EC" w:rsidRPr="008D64F2" w:rsidRDefault="00D107EC" w:rsidP="00325616">
            <w:pPr>
              <w:pStyle w:val="ListParagraph"/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D107EC" w:rsidRPr="009B13FD" w:rsidRDefault="00D107EC" w:rsidP="00325616">
            <w:pPr>
              <w:pStyle w:val="ListParagraph"/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D6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575730" w:rsidRDefault="00575730" w:rsidP="003256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730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30">
              <w:rPr>
                <w:rFonts w:ascii="Arial" w:hAnsi="Arial" w:cs="Arial"/>
                <w:sz w:val="20"/>
                <w:szCs w:val="20"/>
              </w:rPr>
              <w:t>Enhanced programme for ASYE in place and implemented</w:t>
            </w:r>
          </w:p>
          <w:p w:rsidR="00C37011" w:rsidRDefault="00C37011" w:rsidP="003256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011" w:rsidRDefault="00C37011" w:rsidP="003256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27EC" w:rsidRDefault="003D27EC" w:rsidP="003D27E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Reduced spend on agenc</w:t>
            </w:r>
            <w:r w:rsidR="00C37011">
              <w:rPr>
                <w:rFonts w:ascii="Arial" w:hAnsi="Arial" w:cs="Arial"/>
                <w:sz w:val="20"/>
                <w:szCs w:val="20"/>
              </w:rPr>
              <w:t>y staff</w:t>
            </w:r>
          </w:p>
          <w:p w:rsidR="003D27EC" w:rsidRDefault="003D27EC" w:rsidP="003D27E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Job satisfaction and retention of staff within key practitioner groups is increased</w:t>
            </w:r>
          </w:p>
          <w:p w:rsidR="00C37011" w:rsidRDefault="00C37011" w:rsidP="00C370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011" w:rsidRDefault="00C37011" w:rsidP="00C370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011" w:rsidRDefault="00C37011" w:rsidP="00C370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011" w:rsidRDefault="00C37011" w:rsidP="00C370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Deliver Signs of Safety EIP 2 programme</w:t>
            </w:r>
          </w:p>
          <w:p w:rsidR="00C37011" w:rsidRDefault="00C37011" w:rsidP="003D27E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27EC" w:rsidRDefault="003D27EC" w:rsidP="003D27E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27EC" w:rsidRDefault="003D27EC" w:rsidP="003256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27EC" w:rsidRDefault="003D27EC" w:rsidP="003D27EC">
            <w:pPr>
              <w:tabs>
                <w:tab w:val="left" w:pos="151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107EC" w:rsidRDefault="00D107EC" w:rsidP="003256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7EC" w:rsidRPr="009B13FD" w:rsidRDefault="00D107EC" w:rsidP="0032561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D107EC" w:rsidRDefault="00D107EC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</w:t>
            </w:r>
            <w:r w:rsidR="00757A81">
              <w:rPr>
                <w:rFonts w:ascii="Arial" w:hAnsi="Arial" w:cs="Arial"/>
                <w:color w:val="002060"/>
                <w:sz w:val="18"/>
                <w:szCs w:val="18"/>
              </w:rPr>
              <w:t xml:space="preserve">Sept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2018</w:t>
            </w:r>
          </w:p>
          <w:p w:rsidR="00D107EC" w:rsidRDefault="00D107EC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757A81" w:rsidRDefault="00D107EC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</w:t>
            </w:r>
          </w:p>
          <w:p w:rsidR="00C37011" w:rsidRDefault="00757A81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</w:t>
            </w:r>
          </w:p>
          <w:p w:rsidR="00D107EC" w:rsidRPr="00894E3E" w:rsidRDefault="00C37011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   </w:t>
            </w:r>
            <w:r w:rsidR="00757A81">
              <w:rPr>
                <w:rFonts w:ascii="Arial" w:hAnsi="Arial" w:cs="Arial"/>
                <w:color w:val="002060"/>
                <w:sz w:val="18"/>
                <w:szCs w:val="18"/>
              </w:rPr>
              <w:t>Sept</w:t>
            </w:r>
            <w:r w:rsidR="00D107EC">
              <w:rPr>
                <w:rFonts w:ascii="Arial" w:hAnsi="Arial" w:cs="Arial"/>
                <w:color w:val="002060"/>
                <w:sz w:val="18"/>
                <w:szCs w:val="18"/>
              </w:rPr>
              <w:t xml:space="preserve"> 2018</w:t>
            </w:r>
          </w:p>
          <w:p w:rsidR="00C37011" w:rsidRDefault="00757A81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</w:t>
            </w:r>
          </w:p>
          <w:p w:rsidR="00C37011" w:rsidRDefault="00C37011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37011" w:rsidRDefault="00C37011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37011" w:rsidRDefault="00C37011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37011" w:rsidRDefault="00C37011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37011" w:rsidRDefault="00C37011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 </w:t>
            </w:r>
          </w:p>
          <w:p w:rsidR="00D107EC" w:rsidRDefault="00C37011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</w:t>
            </w:r>
            <w:r w:rsidR="00757A81">
              <w:rPr>
                <w:rFonts w:ascii="Arial" w:hAnsi="Arial" w:cs="Arial"/>
                <w:color w:val="002060"/>
                <w:sz w:val="18"/>
                <w:szCs w:val="18"/>
              </w:rPr>
              <w:t>Sept 2019</w:t>
            </w:r>
          </w:p>
          <w:p w:rsidR="00D107EC" w:rsidRDefault="00D107EC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D107EC" w:rsidRPr="00894E3E" w:rsidRDefault="00D107EC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D107EC" w:rsidRDefault="00D107EC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Jane Hall</w:t>
            </w:r>
            <w:r w:rsidR="00757A81">
              <w:rPr>
                <w:rFonts w:ascii="Arial" w:hAnsi="Arial" w:cs="Arial"/>
                <w:color w:val="002060"/>
                <w:sz w:val="18"/>
                <w:szCs w:val="18"/>
              </w:rPr>
              <w:t xml:space="preserve"> / Claire Cox</w:t>
            </w:r>
          </w:p>
          <w:p w:rsidR="00D107EC" w:rsidRDefault="00D107EC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37011" w:rsidRDefault="00C37011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D107EC" w:rsidRDefault="00D107EC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Jane Hall</w:t>
            </w:r>
          </w:p>
          <w:p w:rsidR="00C37011" w:rsidRDefault="00C37011" w:rsidP="00757A81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37011" w:rsidRDefault="00C37011" w:rsidP="00757A81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37011" w:rsidRDefault="00C37011" w:rsidP="00757A81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37011" w:rsidRDefault="00C37011" w:rsidP="00757A81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37011" w:rsidRDefault="00C37011" w:rsidP="00757A81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37011" w:rsidRDefault="00C37011" w:rsidP="00757A81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D107EC" w:rsidRPr="00894E3E" w:rsidRDefault="00757A81" w:rsidP="00757A81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Anne-Marie Spencer</w:t>
            </w:r>
          </w:p>
        </w:tc>
        <w:tc>
          <w:tcPr>
            <w:tcW w:w="1134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D107EC" w:rsidRPr="00747204" w:rsidRDefault="00D107EC" w:rsidP="00325616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:rsidR="00B63AF5" w:rsidRPr="00B63AF5" w:rsidRDefault="00B63AF5" w:rsidP="00605A9A"/>
    <w:sectPr w:rsidR="00B63AF5" w:rsidRPr="00B63AF5" w:rsidSect="00D56DC6">
      <w:footerReference w:type="default" r:id="rId13"/>
      <w:pgSz w:w="23814" w:h="16839" w:orient="landscape" w:code="8"/>
      <w:pgMar w:top="426" w:right="395" w:bottom="426" w:left="546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89" w:rsidRDefault="00CD0689" w:rsidP="00B63AF5">
      <w:pPr>
        <w:spacing w:after="0" w:line="240" w:lineRule="auto"/>
      </w:pPr>
      <w:r>
        <w:separator/>
      </w:r>
    </w:p>
  </w:endnote>
  <w:endnote w:type="continuationSeparator" w:id="0">
    <w:p w:rsidR="00CD0689" w:rsidRDefault="00CD0689" w:rsidP="00B6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F5" w:rsidRDefault="00A643C5" w:rsidP="00F22793">
    <w:pPr>
      <w:pStyle w:val="Footer"/>
      <w:tabs>
        <w:tab w:val="clear" w:pos="4513"/>
        <w:tab w:val="clear" w:pos="9026"/>
        <w:tab w:val="left" w:pos="6330"/>
      </w:tabs>
      <w:jc w:val="right"/>
    </w:pPr>
    <w:r w:rsidRPr="007B502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FCCB2" wp14:editId="788CB0A9">
              <wp:simplePos x="0" y="0"/>
              <wp:positionH relativeFrom="margin">
                <wp:align>left</wp:align>
              </wp:positionH>
              <wp:positionV relativeFrom="paragraph">
                <wp:posOffset>135890</wp:posOffset>
              </wp:positionV>
              <wp:extent cx="4214812" cy="419100"/>
              <wp:effectExtent l="0" t="0" r="14605" b="19050"/>
              <wp:wrapNone/>
              <wp:docPr id="29702" name="Rounded 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4812" cy="419100"/>
                      </a:xfrm>
                      <a:prstGeom prst="roundRect">
                        <a:avLst>
                          <a:gd name="adj" fmla="val 15954"/>
                        </a:avLst>
                      </a:prstGeom>
                      <a:solidFill>
                        <a:srgbClr val="F3FFD1"/>
                      </a:solidFill>
                      <a:ln w="9525" algn="ctr">
                        <a:solidFill>
                          <a:srgbClr val="6699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643C5" w:rsidRDefault="00A643C5" w:rsidP="00A643C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b/>
                              <w:bCs/>
                              <w:color w:val="002060"/>
                              <w:kern w:val="24"/>
                              <w:sz w:val="34"/>
                              <w:szCs w:val="34"/>
                            </w:rPr>
                            <w:t xml:space="preserve">Accountable officer: </w:t>
                          </w:r>
                        </w:p>
                      </w:txbxContent>
                    </wps:txbx>
                    <wps:bodyPr wrap="square" lIns="50400" tIns="25200" rIns="50400" bIns="2520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32" o:spid="_x0000_s1026" style="position:absolute;left:0;text-align:left;margin-left:0;margin-top:10.7pt;width:331.85pt;height:3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" fillcolor="#f3ffd1" strokecolor="#690">
              <v:textbox inset="1.4mm,.7mm,1.4mm,.7mm">
                <w:txbxContent>
                  <w:p w:rsidR="00A643C5" w:rsidRDefault="00A643C5" w:rsidP="00A643C5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="MS PGothic" w:hAnsi="Arial" w:cstheme="minorBidi"/>
                        <w:b/>
                        <w:bCs/>
                        <w:color w:val="002060"/>
                        <w:kern w:val="24"/>
                        <w:sz w:val="34"/>
                        <w:szCs w:val="34"/>
                      </w:rPr>
                      <w:t xml:space="preserve">Accountable officer: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F22793">
      <w:tab/>
    </w:r>
    <w:r w:rsidR="00F22793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48624818" wp14:editId="7D748E91">
          <wp:extent cx="2556193" cy="714474"/>
          <wp:effectExtent l="0" t="0" r="0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Aug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291" cy="73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89" w:rsidRDefault="00CD0689" w:rsidP="00B63AF5">
      <w:pPr>
        <w:spacing w:after="0" w:line="240" w:lineRule="auto"/>
      </w:pPr>
      <w:r>
        <w:separator/>
      </w:r>
    </w:p>
  </w:footnote>
  <w:footnote w:type="continuationSeparator" w:id="0">
    <w:p w:rsidR="00CD0689" w:rsidRDefault="00CD0689" w:rsidP="00B6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1D9"/>
    <w:multiLevelType w:val="hybridMultilevel"/>
    <w:tmpl w:val="29AE6718"/>
    <w:lvl w:ilvl="0" w:tplc="D83E64D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DF2"/>
    <w:multiLevelType w:val="hybridMultilevel"/>
    <w:tmpl w:val="C27A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5581E"/>
    <w:multiLevelType w:val="hybridMultilevel"/>
    <w:tmpl w:val="2F3A4F1E"/>
    <w:lvl w:ilvl="0" w:tplc="F072D77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14A8"/>
    <w:multiLevelType w:val="hybridMultilevel"/>
    <w:tmpl w:val="6B0E512C"/>
    <w:lvl w:ilvl="0" w:tplc="AAA4CB3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4BC9"/>
    <w:multiLevelType w:val="hybridMultilevel"/>
    <w:tmpl w:val="65481B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4602D"/>
    <w:multiLevelType w:val="hybridMultilevel"/>
    <w:tmpl w:val="E2D0E076"/>
    <w:lvl w:ilvl="0" w:tplc="F072D77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2DD8"/>
    <w:multiLevelType w:val="hybridMultilevel"/>
    <w:tmpl w:val="076059F6"/>
    <w:lvl w:ilvl="0" w:tplc="F5B4986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D35CE"/>
    <w:multiLevelType w:val="hybridMultilevel"/>
    <w:tmpl w:val="DF847BD8"/>
    <w:lvl w:ilvl="0" w:tplc="CE56320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ACFA6DE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F7090"/>
    <w:multiLevelType w:val="hybridMultilevel"/>
    <w:tmpl w:val="06E858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41FDD"/>
    <w:multiLevelType w:val="hybridMultilevel"/>
    <w:tmpl w:val="3668A8D6"/>
    <w:lvl w:ilvl="0" w:tplc="0809000F">
      <w:start w:val="1"/>
      <w:numFmt w:val="decimal"/>
      <w:lvlText w:val="%1."/>
      <w:lvlJc w:val="left"/>
      <w:pPr>
        <w:ind w:left="925" w:hanging="360"/>
      </w:pPr>
    </w:lvl>
    <w:lvl w:ilvl="1" w:tplc="08090019" w:tentative="1">
      <w:start w:val="1"/>
      <w:numFmt w:val="lowerLetter"/>
      <w:lvlText w:val="%2."/>
      <w:lvlJc w:val="left"/>
      <w:pPr>
        <w:ind w:left="1645" w:hanging="360"/>
      </w:pPr>
    </w:lvl>
    <w:lvl w:ilvl="2" w:tplc="0809001B" w:tentative="1">
      <w:start w:val="1"/>
      <w:numFmt w:val="lowerRoman"/>
      <w:lvlText w:val="%3."/>
      <w:lvlJc w:val="right"/>
      <w:pPr>
        <w:ind w:left="2365" w:hanging="180"/>
      </w:pPr>
    </w:lvl>
    <w:lvl w:ilvl="3" w:tplc="0809000F" w:tentative="1">
      <w:start w:val="1"/>
      <w:numFmt w:val="decimal"/>
      <w:lvlText w:val="%4."/>
      <w:lvlJc w:val="left"/>
      <w:pPr>
        <w:ind w:left="3085" w:hanging="360"/>
      </w:pPr>
    </w:lvl>
    <w:lvl w:ilvl="4" w:tplc="08090019" w:tentative="1">
      <w:start w:val="1"/>
      <w:numFmt w:val="lowerLetter"/>
      <w:lvlText w:val="%5."/>
      <w:lvlJc w:val="left"/>
      <w:pPr>
        <w:ind w:left="3805" w:hanging="360"/>
      </w:pPr>
    </w:lvl>
    <w:lvl w:ilvl="5" w:tplc="0809001B" w:tentative="1">
      <w:start w:val="1"/>
      <w:numFmt w:val="lowerRoman"/>
      <w:lvlText w:val="%6."/>
      <w:lvlJc w:val="right"/>
      <w:pPr>
        <w:ind w:left="4525" w:hanging="180"/>
      </w:pPr>
    </w:lvl>
    <w:lvl w:ilvl="6" w:tplc="0809000F" w:tentative="1">
      <w:start w:val="1"/>
      <w:numFmt w:val="decimal"/>
      <w:lvlText w:val="%7."/>
      <w:lvlJc w:val="left"/>
      <w:pPr>
        <w:ind w:left="5245" w:hanging="360"/>
      </w:pPr>
    </w:lvl>
    <w:lvl w:ilvl="7" w:tplc="08090019" w:tentative="1">
      <w:start w:val="1"/>
      <w:numFmt w:val="lowerLetter"/>
      <w:lvlText w:val="%8."/>
      <w:lvlJc w:val="left"/>
      <w:pPr>
        <w:ind w:left="5965" w:hanging="360"/>
      </w:pPr>
    </w:lvl>
    <w:lvl w:ilvl="8" w:tplc="08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>
    <w:nsid w:val="22C06B7C"/>
    <w:multiLevelType w:val="hybridMultilevel"/>
    <w:tmpl w:val="6F0C8C44"/>
    <w:lvl w:ilvl="0" w:tplc="BFF0E0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E29D3"/>
    <w:multiLevelType w:val="hybridMultilevel"/>
    <w:tmpl w:val="67884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347D0"/>
    <w:multiLevelType w:val="hybridMultilevel"/>
    <w:tmpl w:val="5CC0CBF0"/>
    <w:lvl w:ilvl="0" w:tplc="08090019">
      <w:start w:val="1"/>
      <w:numFmt w:val="lowerLetter"/>
      <w:lvlText w:val="%1."/>
      <w:lvlJc w:val="left"/>
      <w:pPr>
        <w:ind w:left="925" w:hanging="360"/>
      </w:pPr>
    </w:lvl>
    <w:lvl w:ilvl="1" w:tplc="08090019" w:tentative="1">
      <w:start w:val="1"/>
      <w:numFmt w:val="lowerLetter"/>
      <w:lvlText w:val="%2."/>
      <w:lvlJc w:val="left"/>
      <w:pPr>
        <w:ind w:left="1645" w:hanging="360"/>
      </w:pPr>
    </w:lvl>
    <w:lvl w:ilvl="2" w:tplc="0809001B" w:tentative="1">
      <w:start w:val="1"/>
      <w:numFmt w:val="lowerRoman"/>
      <w:lvlText w:val="%3."/>
      <w:lvlJc w:val="right"/>
      <w:pPr>
        <w:ind w:left="2365" w:hanging="180"/>
      </w:pPr>
    </w:lvl>
    <w:lvl w:ilvl="3" w:tplc="0809000F" w:tentative="1">
      <w:start w:val="1"/>
      <w:numFmt w:val="decimal"/>
      <w:lvlText w:val="%4."/>
      <w:lvlJc w:val="left"/>
      <w:pPr>
        <w:ind w:left="3085" w:hanging="360"/>
      </w:pPr>
    </w:lvl>
    <w:lvl w:ilvl="4" w:tplc="08090019" w:tentative="1">
      <w:start w:val="1"/>
      <w:numFmt w:val="lowerLetter"/>
      <w:lvlText w:val="%5."/>
      <w:lvlJc w:val="left"/>
      <w:pPr>
        <w:ind w:left="3805" w:hanging="360"/>
      </w:pPr>
    </w:lvl>
    <w:lvl w:ilvl="5" w:tplc="0809001B" w:tentative="1">
      <w:start w:val="1"/>
      <w:numFmt w:val="lowerRoman"/>
      <w:lvlText w:val="%6."/>
      <w:lvlJc w:val="right"/>
      <w:pPr>
        <w:ind w:left="4525" w:hanging="180"/>
      </w:pPr>
    </w:lvl>
    <w:lvl w:ilvl="6" w:tplc="0809000F" w:tentative="1">
      <w:start w:val="1"/>
      <w:numFmt w:val="decimal"/>
      <w:lvlText w:val="%7."/>
      <w:lvlJc w:val="left"/>
      <w:pPr>
        <w:ind w:left="5245" w:hanging="360"/>
      </w:pPr>
    </w:lvl>
    <w:lvl w:ilvl="7" w:tplc="08090019" w:tentative="1">
      <w:start w:val="1"/>
      <w:numFmt w:val="lowerLetter"/>
      <w:lvlText w:val="%8."/>
      <w:lvlJc w:val="left"/>
      <w:pPr>
        <w:ind w:left="5965" w:hanging="360"/>
      </w:pPr>
    </w:lvl>
    <w:lvl w:ilvl="8" w:tplc="08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3">
    <w:nsid w:val="2E05353E"/>
    <w:multiLevelType w:val="hybridMultilevel"/>
    <w:tmpl w:val="B2A04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B611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77A7F86"/>
    <w:multiLevelType w:val="hybridMultilevel"/>
    <w:tmpl w:val="069E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01C46"/>
    <w:multiLevelType w:val="hybridMultilevel"/>
    <w:tmpl w:val="463A9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556"/>
    <w:multiLevelType w:val="hybridMultilevel"/>
    <w:tmpl w:val="A636C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44E78"/>
    <w:multiLevelType w:val="hybridMultilevel"/>
    <w:tmpl w:val="353EE2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69469D"/>
    <w:multiLevelType w:val="hybridMultilevel"/>
    <w:tmpl w:val="FB4E66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D37B2"/>
    <w:multiLevelType w:val="hybridMultilevel"/>
    <w:tmpl w:val="C948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323F1"/>
    <w:multiLevelType w:val="hybridMultilevel"/>
    <w:tmpl w:val="40B2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80486"/>
    <w:multiLevelType w:val="hybridMultilevel"/>
    <w:tmpl w:val="61C2A2F0"/>
    <w:lvl w:ilvl="0" w:tplc="BD6A294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B65DB"/>
    <w:multiLevelType w:val="hybridMultilevel"/>
    <w:tmpl w:val="47E0E9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47B54"/>
    <w:multiLevelType w:val="hybridMultilevel"/>
    <w:tmpl w:val="E5C0A4FE"/>
    <w:lvl w:ilvl="0" w:tplc="09C8B9D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1A5202F"/>
    <w:multiLevelType w:val="hybridMultilevel"/>
    <w:tmpl w:val="2346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91F69"/>
    <w:multiLevelType w:val="hybridMultilevel"/>
    <w:tmpl w:val="EF8EAB5A"/>
    <w:lvl w:ilvl="0" w:tplc="12303D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4250F"/>
    <w:multiLevelType w:val="hybridMultilevel"/>
    <w:tmpl w:val="D0B08C3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4C0EF4"/>
    <w:multiLevelType w:val="hybridMultilevel"/>
    <w:tmpl w:val="F594CA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90D9A"/>
    <w:multiLevelType w:val="hybridMultilevel"/>
    <w:tmpl w:val="014C04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A669B2"/>
    <w:multiLevelType w:val="hybridMultilevel"/>
    <w:tmpl w:val="3780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1203C"/>
    <w:multiLevelType w:val="hybridMultilevel"/>
    <w:tmpl w:val="92AA0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27851"/>
    <w:multiLevelType w:val="hybridMultilevel"/>
    <w:tmpl w:val="E1DA2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11EE1"/>
    <w:multiLevelType w:val="hybridMultilevel"/>
    <w:tmpl w:val="B2BA1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70293"/>
    <w:multiLevelType w:val="hybridMultilevel"/>
    <w:tmpl w:val="0DB424D8"/>
    <w:lvl w:ilvl="0" w:tplc="BCFA39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B094C"/>
    <w:multiLevelType w:val="hybridMultilevel"/>
    <w:tmpl w:val="8D9C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C1CA8"/>
    <w:multiLevelType w:val="hybridMultilevel"/>
    <w:tmpl w:val="2E5CC90A"/>
    <w:lvl w:ilvl="0" w:tplc="41A2496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E360E"/>
    <w:multiLevelType w:val="hybridMultilevel"/>
    <w:tmpl w:val="D298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C1E5E"/>
    <w:multiLevelType w:val="hybridMultilevel"/>
    <w:tmpl w:val="94FC12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825C6"/>
    <w:multiLevelType w:val="hybridMultilevel"/>
    <w:tmpl w:val="8BB667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F30F4"/>
    <w:multiLevelType w:val="hybridMultilevel"/>
    <w:tmpl w:val="71B00DD8"/>
    <w:lvl w:ilvl="0" w:tplc="6964813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E6BD5"/>
    <w:multiLevelType w:val="hybridMultilevel"/>
    <w:tmpl w:val="E15E8A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1607E"/>
    <w:multiLevelType w:val="hybridMultilevel"/>
    <w:tmpl w:val="47304E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14898"/>
    <w:multiLevelType w:val="hybridMultilevel"/>
    <w:tmpl w:val="4F3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16F32"/>
    <w:multiLevelType w:val="hybridMultilevel"/>
    <w:tmpl w:val="6184A44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B96107"/>
    <w:multiLevelType w:val="hybridMultilevel"/>
    <w:tmpl w:val="842621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5"/>
  </w:num>
  <w:num w:numId="4">
    <w:abstractNumId w:val="2"/>
  </w:num>
  <w:num w:numId="5">
    <w:abstractNumId w:val="25"/>
  </w:num>
  <w:num w:numId="6">
    <w:abstractNumId w:val="43"/>
  </w:num>
  <w:num w:numId="7">
    <w:abstractNumId w:val="17"/>
  </w:num>
  <w:num w:numId="8">
    <w:abstractNumId w:val="36"/>
  </w:num>
  <w:num w:numId="9">
    <w:abstractNumId w:val="6"/>
  </w:num>
  <w:num w:numId="10">
    <w:abstractNumId w:val="3"/>
  </w:num>
  <w:num w:numId="11">
    <w:abstractNumId w:val="40"/>
  </w:num>
  <w:num w:numId="12">
    <w:abstractNumId w:val="22"/>
  </w:num>
  <w:num w:numId="13">
    <w:abstractNumId w:val="7"/>
  </w:num>
  <w:num w:numId="14">
    <w:abstractNumId w:val="0"/>
  </w:num>
  <w:num w:numId="15">
    <w:abstractNumId w:val="21"/>
  </w:num>
  <w:num w:numId="16">
    <w:abstractNumId w:val="18"/>
  </w:num>
  <w:num w:numId="17">
    <w:abstractNumId w:val="4"/>
  </w:num>
  <w:num w:numId="18">
    <w:abstractNumId w:val="15"/>
  </w:num>
  <w:num w:numId="19">
    <w:abstractNumId w:val="26"/>
  </w:num>
  <w:num w:numId="20">
    <w:abstractNumId w:val="34"/>
  </w:num>
  <w:num w:numId="21">
    <w:abstractNumId w:val="33"/>
  </w:num>
  <w:num w:numId="22">
    <w:abstractNumId w:val="14"/>
  </w:num>
  <w:num w:numId="23">
    <w:abstractNumId w:val="44"/>
  </w:num>
  <w:num w:numId="24">
    <w:abstractNumId w:val="31"/>
  </w:num>
  <w:num w:numId="25">
    <w:abstractNumId w:val="29"/>
  </w:num>
  <w:num w:numId="26">
    <w:abstractNumId w:val="27"/>
  </w:num>
  <w:num w:numId="27">
    <w:abstractNumId w:val="12"/>
  </w:num>
  <w:num w:numId="28">
    <w:abstractNumId w:val="9"/>
  </w:num>
  <w:num w:numId="29">
    <w:abstractNumId w:val="13"/>
  </w:num>
  <w:num w:numId="30">
    <w:abstractNumId w:val="11"/>
  </w:num>
  <w:num w:numId="31">
    <w:abstractNumId w:val="16"/>
  </w:num>
  <w:num w:numId="32">
    <w:abstractNumId w:val="32"/>
  </w:num>
  <w:num w:numId="33">
    <w:abstractNumId w:val="10"/>
  </w:num>
  <w:num w:numId="34">
    <w:abstractNumId w:val="41"/>
  </w:num>
  <w:num w:numId="35">
    <w:abstractNumId w:val="28"/>
  </w:num>
  <w:num w:numId="36">
    <w:abstractNumId w:val="30"/>
  </w:num>
  <w:num w:numId="37">
    <w:abstractNumId w:val="20"/>
  </w:num>
  <w:num w:numId="38">
    <w:abstractNumId w:val="42"/>
  </w:num>
  <w:num w:numId="39">
    <w:abstractNumId w:val="39"/>
  </w:num>
  <w:num w:numId="40">
    <w:abstractNumId w:val="23"/>
  </w:num>
  <w:num w:numId="41">
    <w:abstractNumId w:val="38"/>
  </w:num>
  <w:num w:numId="42">
    <w:abstractNumId w:val="45"/>
  </w:num>
  <w:num w:numId="43">
    <w:abstractNumId w:val="24"/>
  </w:num>
  <w:num w:numId="44">
    <w:abstractNumId w:val="19"/>
  </w:num>
  <w:num w:numId="45">
    <w:abstractNumId w:val="8"/>
  </w:num>
  <w:num w:numId="4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9A"/>
    <w:rsid w:val="00013539"/>
    <w:rsid w:val="0002424D"/>
    <w:rsid w:val="000323D8"/>
    <w:rsid w:val="000470D3"/>
    <w:rsid w:val="00063C7E"/>
    <w:rsid w:val="000739D3"/>
    <w:rsid w:val="000A0DBB"/>
    <w:rsid w:val="000F7620"/>
    <w:rsid w:val="00136860"/>
    <w:rsid w:val="00145316"/>
    <w:rsid w:val="00157D2A"/>
    <w:rsid w:val="001615C0"/>
    <w:rsid w:val="001B1515"/>
    <w:rsid w:val="001D5F0C"/>
    <w:rsid w:val="001E4ED7"/>
    <w:rsid w:val="001F2B18"/>
    <w:rsid w:val="00224FF3"/>
    <w:rsid w:val="00231FEF"/>
    <w:rsid w:val="00234FFF"/>
    <w:rsid w:val="00236DC7"/>
    <w:rsid w:val="00274FEA"/>
    <w:rsid w:val="00275D2E"/>
    <w:rsid w:val="00293202"/>
    <w:rsid w:val="002976F9"/>
    <w:rsid w:val="002C5243"/>
    <w:rsid w:val="002D3BB9"/>
    <w:rsid w:val="002E226C"/>
    <w:rsid w:val="00301A52"/>
    <w:rsid w:val="00306783"/>
    <w:rsid w:val="00310BA6"/>
    <w:rsid w:val="00322798"/>
    <w:rsid w:val="00343321"/>
    <w:rsid w:val="00344A9F"/>
    <w:rsid w:val="00364247"/>
    <w:rsid w:val="0038106B"/>
    <w:rsid w:val="00381405"/>
    <w:rsid w:val="00387321"/>
    <w:rsid w:val="00391BB0"/>
    <w:rsid w:val="003C2202"/>
    <w:rsid w:val="003D27EC"/>
    <w:rsid w:val="003F542A"/>
    <w:rsid w:val="004011BD"/>
    <w:rsid w:val="0041241A"/>
    <w:rsid w:val="0045533A"/>
    <w:rsid w:val="00455BDB"/>
    <w:rsid w:val="0047694B"/>
    <w:rsid w:val="00482D02"/>
    <w:rsid w:val="004C4659"/>
    <w:rsid w:val="004E1F31"/>
    <w:rsid w:val="00506E03"/>
    <w:rsid w:val="005213E1"/>
    <w:rsid w:val="0054421D"/>
    <w:rsid w:val="005531E1"/>
    <w:rsid w:val="00560039"/>
    <w:rsid w:val="0057359F"/>
    <w:rsid w:val="00575730"/>
    <w:rsid w:val="0058337D"/>
    <w:rsid w:val="00590566"/>
    <w:rsid w:val="00593E9B"/>
    <w:rsid w:val="005B142E"/>
    <w:rsid w:val="005C1F9F"/>
    <w:rsid w:val="005C4060"/>
    <w:rsid w:val="00605A9A"/>
    <w:rsid w:val="00605BB3"/>
    <w:rsid w:val="006151A7"/>
    <w:rsid w:val="00637019"/>
    <w:rsid w:val="00637F4C"/>
    <w:rsid w:val="00663526"/>
    <w:rsid w:val="00684818"/>
    <w:rsid w:val="006C7D48"/>
    <w:rsid w:val="006D12D9"/>
    <w:rsid w:val="006D729E"/>
    <w:rsid w:val="00701A2A"/>
    <w:rsid w:val="00706432"/>
    <w:rsid w:val="00716B64"/>
    <w:rsid w:val="0072597C"/>
    <w:rsid w:val="00727AA3"/>
    <w:rsid w:val="00733995"/>
    <w:rsid w:val="00747204"/>
    <w:rsid w:val="0075424A"/>
    <w:rsid w:val="00757A81"/>
    <w:rsid w:val="00797B81"/>
    <w:rsid w:val="007A73A7"/>
    <w:rsid w:val="007A7B8D"/>
    <w:rsid w:val="007B4194"/>
    <w:rsid w:val="007B502B"/>
    <w:rsid w:val="007C0C6F"/>
    <w:rsid w:val="007F52BF"/>
    <w:rsid w:val="00815B9A"/>
    <w:rsid w:val="00820900"/>
    <w:rsid w:val="0082709D"/>
    <w:rsid w:val="0083014D"/>
    <w:rsid w:val="008473B5"/>
    <w:rsid w:val="0084753F"/>
    <w:rsid w:val="00887F7D"/>
    <w:rsid w:val="00894E3E"/>
    <w:rsid w:val="008B0091"/>
    <w:rsid w:val="008C2017"/>
    <w:rsid w:val="008D64F2"/>
    <w:rsid w:val="00900762"/>
    <w:rsid w:val="00901E71"/>
    <w:rsid w:val="00925F4D"/>
    <w:rsid w:val="00931F23"/>
    <w:rsid w:val="0094138F"/>
    <w:rsid w:val="009833EB"/>
    <w:rsid w:val="009869F1"/>
    <w:rsid w:val="009B13FD"/>
    <w:rsid w:val="009B3392"/>
    <w:rsid w:val="009E6AFB"/>
    <w:rsid w:val="009E7B3D"/>
    <w:rsid w:val="009F680D"/>
    <w:rsid w:val="00A05267"/>
    <w:rsid w:val="00A117E6"/>
    <w:rsid w:val="00A129AD"/>
    <w:rsid w:val="00A30448"/>
    <w:rsid w:val="00A5763C"/>
    <w:rsid w:val="00A643C5"/>
    <w:rsid w:val="00A64CF4"/>
    <w:rsid w:val="00A80A55"/>
    <w:rsid w:val="00AF0EA9"/>
    <w:rsid w:val="00AF5E10"/>
    <w:rsid w:val="00B63AF5"/>
    <w:rsid w:val="00B67D95"/>
    <w:rsid w:val="00B709DB"/>
    <w:rsid w:val="00BA130F"/>
    <w:rsid w:val="00BA66FF"/>
    <w:rsid w:val="00BB66DA"/>
    <w:rsid w:val="00BC1DA2"/>
    <w:rsid w:val="00BD259A"/>
    <w:rsid w:val="00C16739"/>
    <w:rsid w:val="00C34DE8"/>
    <w:rsid w:val="00C37011"/>
    <w:rsid w:val="00C40084"/>
    <w:rsid w:val="00CD0689"/>
    <w:rsid w:val="00CF3F22"/>
    <w:rsid w:val="00CF5F00"/>
    <w:rsid w:val="00D107EC"/>
    <w:rsid w:val="00D40455"/>
    <w:rsid w:val="00D41BFA"/>
    <w:rsid w:val="00D56DC6"/>
    <w:rsid w:val="00D70C9C"/>
    <w:rsid w:val="00D81521"/>
    <w:rsid w:val="00D81DF8"/>
    <w:rsid w:val="00D83E8C"/>
    <w:rsid w:val="00DB2E92"/>
    <w:rsid w:val="00DC7D99"/>
    <w:rsid w:val="00DD261E"/>
    <w:rsid w:val="00DD6101"/>
    <w:rsid w:val="00E449C9"/>
    <w:rsid w:val="00E723FA"/>
    <w:rsid w:val="00E73D8E"/>
    <w:rsid w:val="00E7483C"/>
    <w:rsid w:val="00E97DEF"/>
    <w:rsid w:val="00EA6465"/>
    <w:rsid w:val="00EB3A15"/>
    <w:rsid w:val="00EC7D47"/>
    <w:rsid w:val="00ED2A7C"/>
    <w:rsid w:val="00EE4FA7"/>
    <w:rsid w:val="00EF574A"/>
    <w:rsid w:val="00F11C87"/>
    <w:rsid w:val="00F22793"/>
    <w:rsid w:val="00F23B28"/>
    <w:rsid w:val="00F45394"/>
    <w:rsid w:val="00F90D2E"/>
    <w:rsid w:val="00FD28C3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D259A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BD25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D259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6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F5"/>
  </w:style>
  <w:style w:type="paragraph" w:styleId="Footer">
    <w:name w:val="footer"/>
    <w:basedOn w:val="Normal"/>
    <w:link w:val="FooterChar"/>
    <w:uiPriority w:val="99"/>
    <w:unhideWhenUsed/>
    <w:rsid w:val="00B6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F5"/>
  </w:style>
  <w:style w:type="paragraph" w:styleId="BalloonText">
    <w:name w:val="Balloon Text"/>
    <w:basedOn w:val="Normal"/>
    <w:link w:val="BalloonTextChar"/>
    <w:uiPriority w:val="99"/>
    <w:semiHidden/>
    <w:unhideWhenUsed/>
    <w:rsid w:val="007B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D259A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BD25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D259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6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F5"/>
  </w:style>
  <w:style w:type="paragraph" w:styleId="Footer">
    <w:name w:val="footer"/>
    <w:basedOn w:val="Normal"/>
    <w:link w:val="FooterChar"/>
    <w:uiPriority w:val="99"/>
    <w:unhideWhenUsed/>
    <w:rsid w:val="00B6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F5"/>
  </w:style>
  <w:style w:type="paragraph" w:styleId="BalloonText">
    <w:name w:val="Balloon Text"/>
    <w:basedOn w:val="Normal"/>
    <w:link w:val="BalloonTextChar"/>
    <w:uiPriority w:val="99"/>
    <w:semiHidden/>
    <w:unhideWhenUsed/>
    <w:rsid w:val="007B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7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2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6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9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9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2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49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7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93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0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2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7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1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6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1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9e6b2a5-9911-436b-be0b-29583905b62b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742D6A842904481236660BA39580B" ma:contentTypeVersion="0" ma:contentTypeDescription="Create a new document." ma:contentTypeScope="" ma:versionID="c302bf795ed8fcbcb0cda7d4a1b957cd">
  <xsd:schema xmlns:xsd="http://www.w3.org/2001/XMLSchema" xmlns:xs="http://www.w3.org/2001/XMLSchema" xmlns:p="http://schemas.microsoft.com/office/2006/metadata/properties" xmlns:ns2="3bc4ffac-db66-4629-a2a4-198b68680464" targetNamespace="http://schemas.microsoft.com/office/2006/metadata/properties" ma:root="true" ma:fieldsID="d2c4e18c990175ff45f71896113982ca" ns2:_="">
    <xsd:import namespace="3bc4ffac-db66-4629-a2a4-198b68680464"/>
    <xsd:element name="properties">
      <xsd:complexType>
        <xsd:sequence>
          <xsd:element name="documentManagement">
            <xsd:complexType>
              <xsd:all>
                <xsd:element ref="ns2:ClassificationTaxHTField0" minOccurs="0"/>
                <xsd:element ref="ns2:TaxCatchAll" minOccurs="0"/>
                <xsd:element ref="ns2:TaxCatchAllLabel" minOccurs="0"/>
                <xsd:element ref="ns2:Tea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4ffac-db66-4629-a2a4-198b68680464" elementFormDefault="qualified">
    <xsd:import namespace="http://schemas.microsoft.com/office/2006/documentManagement/types"/>
    <xsd:import namespace="http://schemas.microsoft.com/office/infopath/2007/PartnerControls"/>
    <xsd:element name="ClassificationTaxHTField0" ma:index="8" ma:taxonomy="true" ma:internalName="ClassificationTaxHTField0" ma:taxonomyFieldName="Classification" ma:displayName="Classification" ma:default="2;#Management|2f328fdf-4012-4633-b57f-77c080772ec5" ma:fieldId="{19494d79-bf9d-4552-918b-02870678aabd}" ma:sspId="09e6b2a5-9911-436b-be0b-29583905b62b" ma:termSetId="951b0fb9-a83f-45b8-9f91-c86fdc52d8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974102b-0b74-4164-86e7-82bb19eb5829}" ma:internalName="TaxCatchAll" ma:showField="CatchAllData" ma:web="1db8c345-31ad-4a4d-8f7f-c25c38936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74102b-0b74-4164-86e7-82bb19eb5829}" ma:internalName="TaxCatchAllLabel" ma:readOnly="true" ma:showField="CatchAllDataLabel" ma:web="1db8c345-31ad-4a4d-8f7f-c25c38936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amTaxHTField0" ma:index="12" ma:taxonomy="true" ma:internalName="TeamTaxHTField0" ma:taxonomyFieldName="Team" ma:displayName="Team" ma:default="1;#Communications, Customers and Policy|97f9085f-dd14-4d27-9268-46f2c30a0615" ma:fieldId="{2927cad6-1ed1-4d21-8d47-2b1091ad3ead}" ma:sspId="09e6b2a5-9911-436b-be0b-29583905b62b" ma:termSetId="e61e59da-7bd7-434d-a2a9-0bc1470593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</TermName>
          <TermId xmlns="http://schemas.microsoft.com/office/infopath/2007/PartnerControls">2f328fdf-4012-4633-b57f-77c080772ec5</TermId>
        </TermInfo>
      </Terms>
    </ClassificationTaxHTField0>
    <Team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Communications, Customers and Policy</TermName>
          <TermId xmlns="http://schemas.microsoft.com/office/infopath/2007/PartnerControls">97f9085f-dd14-4d27-9268-46f2c30a0615</TermId>
        </TermInfo>
      </Terms>
    </TeamTaxHTField0>
    <TaxCatchAll xmlns="3bc4ffac-db66-4629-a2a4-198b68680464">
      <Value>2</Value>
      <Value>1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ADEE-BBFA-4CED-B3B6-03AFA949D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0F8CA-24C1-456E-A4FD-FE6F5C11A32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F8EDCE6-E71C-4F91-AD7E-F5062CDDC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4ffac-db66-4629-a2a4-198b68680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63968-E6DB-409D-AE00-AE17F8B292CD}">
  <ds:schemaRefs>
    <ds:schemaRef ds:uri="http://schemas.microsoft.com/office/2006/metadata/properties"/>
    <ds:schemaRef ds:uri="http://schemas.microsoft.com/office/infopath/2007/PartnerControls"/>
    <ds:schemaRef ds:uri="3bc4ffac-db66-4629-a2a4-198b68680464"/>
  </ds:schemaRefs>
</ds:datastoreItem>
</file>

<file path=customXml/itemProps5.xml><?xml version="1.0" encoding="utf-8"?>
<ds:datastoreItem xmlns:ds="http://schemas.openxmlformats.org/officeDocument/2006/customXml" ds:itemID="{C6761ADD-F010-456C-A654-FD835AF2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Cowie, Darren</dc:creator>
  <cp:lastModifiedBy>Wakefield Council</cp:lastModifiedBy>
  <cp:revision>27</cp:revision>
  <cp:lastPrinted>2018-05-10T14:08:00Z</cp:lastPrinted>
  <dcterms:created xsi:type="dcterms:W3CDTF">2018-05-10T07:12:00Z</dcterms:created>
  <dcterms:modified xsi:type="dcterms:W3CDTF">2018-08-20T08:22:00Z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0x0101001B3742D6A842904481236660BA39580B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